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56DA" w14:textId="38848D99" w:rsidR="00487664" w:rsidRDefault="003D1D5A" w:rsidP="00423384">
      <w:pPr>
        <w:spacing w:line="240" w:lineRule="auto"/>
        <w:jc w:val="center"/>
        <w:rPr>
          <w:b/>
          <w:bCs/>
        </w:rPr>
      </w:pPr>
      <w:r w:rsidRPr="002D6C3B">
        <w:rPr>
          <w:b/>
          <w:bCs/>
        </w:rPr>
        <w:t>Customer</w:t>
      </w:r>
      <w:r w:rsidRPr="004E174E">
        <w:rPr>
          <w:b/>
          <w:bCs/>
        </w:rPr>
        <w:t xml:space="preserve"> </w:t>
      </w:r>
      <w:r w:rsidR="00A66E2F">
        <w:rPr>
          <w:b/>
          <w:bCs/>
        </w:rPr>
        <w:t>L</w:t>
      </w:r>
      <w:r w:rsidRPr="002D6C3B">
        <w:rPr>
          <w:b/>
          <w:bCs/>
        </w:rPr>
        <w:t>ifetime</w:t>
      </w:r>
      <w:r w:rsidRPr="004E174E">
        <w:rPr>
          <w:b/>
          <w:bCs/>
        </w:rPr>
        <w:t xml:space="preserve"> </w:t>
      </w:r>
      <w:r w:rsidR="00A66E2F">
        <w:rPr>
          <w:b/>
          <w:bCs/>
        </w:rPr>
        <w:t>V</w:t>
      </w:r>
      <w:r w:rsidRPr="002D6C3B">
        <w:rPr>
          <w:b/>
          <w:bCs/>
        </w:rPr>
        <w:t>alue</w:t>
      </w:r>
      <w:r w:rsidRPr="004E174E">
        <w:rPr>
          <w:b/>
          <w:bCs/>
        </w:rPr>
        <w:t xml:space="preserve">: </w:t>
      </w:r>
      <w:r w:rsidR="00A66E2F">
        <w:rPr>
          <w:b/>
          <w:bCs/>
        </w:rPr>
        <w:t>E</w:t>
      </w:r>
      <w:r w:rsidR="004E174E" w:rsidRPr="004E174E">
        <w:rPr>
          <w:b/>
          <w:bCs/>
        </w:rPr>
        <w:t xml:space="preserve">volution of </w:t>
      </w:r>
      <w:r w:rsidR="00A66E2F">
        <w:rPr>
          <w:b/>
          <w:bCs/>
        </w:rPr>
        <w:t>A</w:t>
      </w:r>
      <w:r w:rsidR="004E174E" w:rsidRPr="004E174E">
        <w:rPr>
          <w:b/>
          <w:bCs/>
        </w:rPr>
        <w:t xml:space="preserve">pproaches to </w:t>
      </w:r>
      <w:r w:rsidR="000443C6">
        <w:rPr>
          <w:b/>
          <w:bCs/>
        </w:rPr>
        <w:t>P</w:t>
      </w:r>
      <w:r w:rsidR="004E174E" w:rsidRPr="004E174E">
        <w:rPr>
          <w:b/>
          <w:bCs/>
        </w:rPr>
        <w:t xml:space="preserve">redicting </w:t>
      </w:r>
      <w:r w:rsidR="000443C6">
        <w:rPr>
          <w:b/>
          <w:bCs/>
        </w:rPr>
        <w:t>C</w:t>
      </w:r>
      <w:r w:rsidR="004E174E" w:rsidRPr="004E174E">
        <w:rPr>
          <w:b/>
          <w:bCs/>
        </w:rPr>
        <w:t xml:space="preserve">ustomer </w:t>
      </w:r>
      <w:r w:rsidR="000443C6">
        <w:rPr>
          <w:b/>
          <w:bCs/>
        </w:rPr>
        <w:t>B</w:t>
      </w:r>
      <w:r w:rsidR="004E174E" w:rsidRPr="004E174E">
        <w:rPr>
          <w:b/>
          <w:bCs/>
        </w:rPr>
        <w:t>ehavior</w:t>
      </w:r>
    </w:p>
    <w:p w14:paraId="5038FA93" w14:textId="77777777" w:rsidR="005A6364" w:rsidRPr="004E174E" w:rsidRDefault="005A6364" w:rsidP="00423384">
      <w:pPr>
        <w:spacing w:line="240" w:lineRule="auto"/>
        <w:jc w:val="center"/>
        <w:rPr>
          <w:b/>
          <w:bCs/>
        </w:rPr>
      </w:pPr>
    </w:p>
    <w:p w14:paraId="6C28237A" w14:textId="04C92704" w:rsidR="00C11A94" w:rsidRDefault="005A6364" w:rsidP="00C11A94">
      <w:pPr>
        <w:spacing w:line="240" w:lineRule="auto"/>
      </w:pPr>
      <w:r>
        <w:rPr>
          <w:b/>
          <w:bCs/>
        </w:rPr>
        <w:t>Introduction.</w:t>
      </w:r>
      <w:r w:rsidR="00E90A2A" w:rsidRPr="004E174E">
        <w:t xml:space="preserve"> </w:t>
      </w:r>
      <w:r>
        <w:t>P</w:t>
      </w:r>
      <w:r w:rsidR="004E174E">
        <w:t>redicting</w:t>
      </w:r>
      <w:r w:rsidR="004E174E" w:rsidRPr="004E174E">
        <w:t xml:space="preserve"> </w:t>
      </w:r>
      <w:r w:rsidR="004E174E">
        <w:t>customers</w:t>
      </w:r>
      <w:r w:rsidR="004E174E" w:rsidRPr="004E174E">
        <w:t xml:space="preserve"> </w:t>
      </w:r>
      <w:r w:rsidR="004E174E">
        <w:t>is</w:t>
      </w:r>
      <w:r w:rsidR="004E174E" w:rsidRPr="004E174E">
        <w:t xml:space="preserve"> </w:t>
      </w:r>
      <w:r w:rsidR="004E174E">
        <w:t>incredibly hard</w:t>
      </w:r>
      <w:r w:rsidR="00C27F53" w:rsidRPr="004E174E">
        <w:t xml:space="preserve">. </w:t>
      </w:r>
      <w:r w:rsidR="004E174E">
        <w:t xml:space="preserve">The state-of-art approaches of </w:t>
      </w:r>
      <w:bookmarkStart w:id="0" w:name="_Hlk118581778"/>
      <w:r w:rsidR="004B5E73">
        <w:t>probabilistic</w:t>
      </w:r>
      <w:r w:rsidR="004E174E">
        <w:t xml:space="preserve"> </w:t>
      </w:r>
      <w:bookmarkEnd w:id="0"/>
      <w:r w:rsidR="004E174E">
        <w:t>modeling make CLV estimation easy. Buy-till-you</w:t>
      </w:r>
      <w:r w:rsidR="00BD5C5A">
        <w:t>-</w:t>
      </w:r>
      <w:r w:rsidR="004E174E">
        <w:t xml:space="preserve">die models </w:t>
      </w:r>
      <w:r w:rsidR="004B5E73">
        <w:t>focus on forecasting customer’s attrition, transaction and spending processes.</w:t>
      </w:r>
      <w:r w:rsidR="00D813CB">
        <w:t xml:space="preserve"> The study compares customer behavior predicting models in noncontractual business settings (</w:t>
      </w:r>
      <w:r w:rsidR="00F24DBD" w:rsidRPr="00D813CB">
        <w:t>Pareto/NBD, BG/NBD</w:t>
      </w:r>
      <w:r w:rsidR="00D813CB">
        <w:t xml:space="preserve"> and</w:t>
      </w:r>
      <w:r w:rsidR="00F24DBD" w:rsidRPr="00D813CB">
        <w:t xml:space="preserve"> MBG/NBD</w:t>
      </w:r>
      <w:r w:rsidR="00D813CB">
        <w:t>)</w:t>
      </w:r>
      <w:r w:rsidR="00F24DBD" w:rsidRPr="00D813CB">
        <w:t xml:space="preserve">. </w:t>
      </w:r>
      <w:r w:rsidR="00D813CB">
        <w:t xml:space="preserve">The estimates </w:t>
      </w:r>
      <w:r w:rsidR="00F4406E">
        <w:t>and approximation quality are evaluated</w:t>
      </w:r>
      <w:r w:rsidR="00F4406E" w:rsidRPr="00F4406E">
        <w:t xml:space="preserve"> </w:t>
      </w:r>
      <w:r w:rsidR="00F4406E">
        <w:t xml:space="preserve">by </w:t>
      </w:r>
      <w:r w:rsidR="00796A9B">
        <w:t>using</w:t>
      </w:r>
      <w:r w:rsidR="00F4406E">
        <w:t xml:space="preserve"> a transaction dataset gathered by a</w:t>
      </w:r>
      <w:r w:rsidR="00BD5C5A">
        <w:t xml:space="preserve"> </w:t>
      </w:r>
      <w:r w:rsidR="00BD5C5A" w:rsidRPr="00BD5C5A">
        <w:t>Russian restaurant chain</w:t>
      </w:r>
      <w:r w:rsidR="00BD5C5A">
        <w:t>.</w:t>
      </w:r>
      <w:r w:rsidR="00617371">
        <w:t xml:space="preserve"> S</w:t>
      </w:r>
      <w:r w:rsidR="00BD5C5A">
        <w:t xml:space="preserve">tatic and dynamic control variables </w:t>
      </w:r>
      <w:r w:rsidR="00617371">
        <w:t>make up a generalized approach used in the study.</w:t>
      </w:r>
      <w:r w:rsidR="009F3FD7">
        <w:t xml:space="preserve"> This paper aims at filling the</w:t>
      </w:r>
      <w:r w:rsidR="009F3FD7" w:rsidRPr="009F3FD7">
        <w:t xml:space="preserve"> </w:t>
      </w:r>
      <w:r w:rsidR="009F3FD7">
        <w:t xml:space="preserve">existing gap in Russian marketing theory, as it provides examples of </w:t>
      </w:r>
      <w:r w:rsidR="00C11A94" w:rsidRPr="00C11A94">
        <w:t xml:space="preserve">Pareto/GGG </w:t>
      </w:r>
      <w:r w:rsidR="00C11A94">
        <w:t>parameter estimation and evaluation.</w:t>
      </w:r>
    </w:p>
    <w:p w14:paraId="263561D4" w14:textId="3318AAB0" w:rsidR="00904E8E" w:rsidRDefault="004E174E" w:rsidP="00904E8E">
      <w:pPr>
        <w:spacing w:line="240" w:lineRule="auto"/>
      </w:pPr>
      <w:r>
        <w:rPr>
          <w:b/>
          <w:bCs/>
        </w:rPr>
        <w:t>Overview</w:t>
      </w:r>
      <w:r w:rsidR="00A2126C" w:rsidRPr="002E43DA">
        <w:rPr>
          <w:b/>
          <w:bCs/>
        </w:rPr>
        <w:t>.</w:t>
      </w:r>
      <w:r w:rsidR="005954F2">
        <w:rPr>
          <w:b/>
          <w:bCs/>
        </w:rPr>
        <w:t xml:space="preserve"> </w:t>
      </w:r>
      <w:r w:rsidR="002E43DA">
        <w:t>For quite a while, m</w:t>
      </w:r>
      <w:r w:rsidR="002E43DA" w:rsidRPr="002E43DA">
        <w:t>arketing theory</w:t>
      </w:r>
      <w:r w:rsidR="002E43DA">
        <w:t>’</w:t>
      </w:r>
      <w:r w:rsidR="002E43DA" w:rsidRPr="002E43DA">
        <w:t>s been trying to answer</w:t>
      </w:r>
      <w:r w:rsidR="00C6456D">
        <w:t xml:space="preserve"> </w:t>
      </w:r>
      <w:r w:rsidR="002E43DA">
        <w:t>whether to</w:t>
      </w:r>
      <w:r w:rsidR="002E43DA" w:rsidRPr="002E43DA">
        <w:t xml:space="preserve"> </w:t>
      </w:r>
      <w:r w:rsidR="002E43DA">
        <w:t>attract</w:t>
      </w:r>
      <w:r w:rsidR="002E43DA" w:rsidRPr="002E43DA">
        <w:t xml:space="preserve"> </w:t>
      </w:r>
      <w:r w:rsidR="002E43DA">
        <w:t>or retain customers</w:t>
      </w:r>
      <w:r w:rsidR="00E46FF1">
        <w:t xml:space="preserve">. </w:t>
      </w:r>
      <w:r w:rsidR="00E46FF1" w:rsidRPr="00E46FF1">
        <w:t>Historically, aggressive marketing strategies ha</w:t>
      </w:r>
      <w:r w:rsidR="00796A9B">
        <w:t>ve</w:t>
      </w:r>
      <w:r w:rsidR="00E46FF1" w:rsidRPr="00E46FF1">
        <w:t xml:space="preserve"> prevailed</w:t>
      </w:r>
      <w:r w:rsidR="00796A9B">
        <w:t>,</w:t>
      </w:r>
      <w:r w:rsidR="00E46FF1" w:rsidRPr="00E46FF1">
        <w:t xml:space="preserve"> justifying the need </w:t>
      </w:r>
      <w:r w:rsidR="00C6456D">
        <w:t>for</w:t>
      </w:r>
      <w:r w:rsidR="00E46FF1" w:rsidRPr="00E46FF1">
        <w:t xml:space="preserve"> constant customer attraction.</w:t>
      </w:r>
      <w:r w:rsidR="00E46FF1">
        <w:t xml:space="preserve"> Conversely, supporters of relationship marketing preached the idea</w:t>
      </w:r>
      <w:r w:rsidR="00C95D09">
        <w:t xml:space="preserve"> of customer retention. A target strategy depends on the cost-to-benefit ratio of both to reach </w:t>
      </w:r>
      <w:r w:rsidR="00FC3FFD">
        <w:t>a perfect balance. The estimated ratio varies across industries, companies and products. An extensive retention strategy is associated with</w:t>
      </w:r>
      <w:r w:rsidR="00FC3FFD" w:rsidRPr="00FC3FFD">
        <w:t xml:space="preserve"> </w:t>
      </w:r>
      <w:r w:rsidR="00FC3FFD">
        <w:t>high costs. A company</w:t>
      </w:r>
      <w:r w:rsidR="000D1B84">
        <w:t xml:space="preserve"> should recognize the benefits of long-term cooperation with its customers</w:t>
      </w:r>
      <w:r w:rsidR="007E0999">
        <w:t>,</w:t>
      </w:r>
      <w:r w:rsidR="000D1B84">
        <w:t xml:space="preserve"> taking into account</w:t>
      </w:r>
      <w:r w:rsidR="00A54268" w:rsidRPr="00A54268">
        <w:t xml:space="preserve"> </w:t>
      </w:r>
      <w:r w:rsidR="00A54268">
        <w:t>a</w:t>
      </w:r>
      <w:r w:rsidR="000D1B84">
        <w:t xml:space="preserve"> different </w:t>
      </w:r>
      <w:r w:rsidR="00A54268">
        <w:t>level of an individual contribution made to its</w:t>
      </w:r>
      <w:r w:rsidR="00DA64F8" w:rsidRPr="00DA64F8">
        <w:t xml:space="preserve"> </w:t>
      </w:r>
      <w:r w:rsidR="00DA64F8">
        <w:t xml:space="preserve">steady income. A CLV is </w:t>
      </w:r>
      <w:r w:rsidR="00E10E28">
        <w:t xml:space="preserve">a discounted company’s future cashflow </w:t>
      </w:r>
      <w:r w:rsidR="00E10E28" w:rsidRPr="00E10E28">
        <w:t>contributed to the whole future relationship with a customer</w:t>
      </w:r>
      <w:r w:rsidR="00DA64F8" w:rsidRPr="00DA64F8">
        <w:t>.</w:t>
      </w:r>
      <w:r w:rsidR="00E10E28">
        <w:t xml:space="preserve"> </w:t>
      </w:r>
      <w:r w:rsidR="005954F2" w:rsidRPr="005954F2">
        <w:t xml:space="preserve">The strategy of long-term cooperation is successful </w:t>
      </w:r>
      <w:r w:rsidR="00E10E28">
        <w:t xml:space="preserve">when certain criteria are met: high </w:t>
      </w:r>
      <w:r w:rsidR="005954F2" w:rsidRPr="005954F2">
        <w:t>market saturation; high initial costs of attracting customers; the benefits of</w:t>
      </w:r>
      <w:r w:rsidR="000F0948" w:rsidRPr="000F0948">
        <w:t xml:space="preserve"> </w:t>
      </w:r>
      <w:r w:rsidR="005954F2" w:rsidRPr="005954F2">
        <w:t>maintaining relationships that allow to gain long-term competitive advantages.</w:t>
      </w:r>
      <w:r w:rsidR="000F0948" w:rsidRPr="000F0948">
        <w:t xml:space="preserve"> </w:t>
      </w:r>
      <w:r w:rsidR="000F0948">
        <w:t>CLV models differ depending on business settings (contractual and noncontractual). Whilst in contractual business settings</w:t>
      </w:r>
      <w:r w:rsidR="007E0999">
        <w:t>,</w:t>
      </w:r>
      <w:r w:rsidR="000F0948">
        <w:t xml:space="preserve"> it’s easy to identify customer</w:t>
      </w:r>
      <w:r w:rsidR="00904E8E">
        <w:t xml:space="preserve">’s churn risk by logistic regression or clustering analysis. Contractual settings </w:t>
      </w:r>
      <w:r w:rsidR="005954F2" w:rsidRPr="005954F2">
        <w:t>introduce great</w:t>
      </w:r>
      <w:r w:rsidR="00904E8E">
        <w:t>er</w:t>
      </w:r>
      <w:r w:rsidR="005954F2" w:rsidRPr="005954F2">
        <w:t xml:space="preserve"> uncertainty,</w:t>
      </w:r>
      <w:r w:rsidR="00904E8E">
        <w:t xml:space="preserve"> </w:t>
      </w:r>
      <w:r w:rsidR="00C61EEE">
        <w:t>specific</w:t>
      </w:r>
      <w:r w:rsidR="00904E8E">
        <w:t xml:space="preserve"> distribution assumptions need to be done.</w:t>
      </w:r>
    </w:p>
    <w:p w14:paraId="5B0B11BA" w14:textId="17AFF704" w:rsidR="00312E0B" w:rsidRDefault="00904E8E" w:rsidP="00904E8E">
      <w:pPr>
        <w:spacing w:line="240" w:lineRule="auto"/>
      </w:pPr>
      <w:r w:rsidRPr="00904E8E">
        <w:rPr>
          <w:b/>
          <w:bCs/>
        </w:rPr>
        <w:t>Methods</w:t>
      </w:r>
      <w:r w:rsidRPr="00796A9B">
        <w:rPr>
          <w:b/>
          <w:bCs/>
        </w:rPr>
        <w:t>.</w:t>
      </w:r>
      <w:r w:rsidRPr="00796A9B">
        <w:t xml:space="preserve"> </w:t>
      </w:r>
      <w:r w:rsidR="00312E0B">
        <w:t xml:space="preserve">The state-of-art CLV models applicable only in noncontractual business settings </w:t>
      </w:r>
      <w:r w:rsidR="00312E0B" w:rsidRPr="00312E0B">
        <w:t>(</w:t>
      </w:r>
      <w:r w:rsidR="000443C6">
        <w:t>T</w:t>
      </w:r>
      <w:r w:rsidR="00312E0B" w:rsidRPr="00312E0B">
        <w:t>able 1)</w:t>
      </w:r>
      <w:r w:rsidR="00312E0B">
        <w:t xml:space="preserve"> </w:t>
      </w:r>
      <w:r w:rsidR="00C61EEE">
        <w:t xml:space="preserve">were </w:t>
      </w:r>
      <w:r w:rsidR="00312E0B">
        <w:t xml:space="preserve">addressed in the study. Buy-till-you-die models help companies tell the story of a customer from the very moment she was </w:t>
      </w:r>
      <w:r w:rsidR="00B74BDB">
        <w:t>attracted until she’s gone for good.</w:t>
      </w:r>
    </w:p>
    <w:p w14:paraId="069ABB98" w14:textId="30517280" w:rsidR="00904E8E" w:rsidRDefault="00B74BDB" w:rsidP="00904E8E">
      <w:pPr>
        <w:spacing w:line="240" w:lineRule="auto"/>
      </w:pPr>
      <w:r w:rsidRPr="00881786">
        <w:rPr>
          <w:b/>
          <w:bCs/>
        </w:rPr>
        <w:t>Data</w:t>
      </w:r>
      <w:r w:rsidRPr="00796A9B">
        <w:rPr>
          <w:b/>
          <w:bCs/>
        </w:rPr>
        <w:t>.</w:t>
      </w:r>
      <w:r w:rsidRPr="00796A9B">
        <w:t xml:space="preserve"> </w:t>
      </w:r>
      <w:r w:rsidR="00C61EEE">
        <w:t xml:space="preserve">The </w:t>
      </w:r>
      <w:r w:rsidR="00881786">
        <w:t>dataset</w:t>
      </w:r>
      <w:r w:rsidR="00C61EEE">
        <w:t xml:space="preserve"> used in the study</w:t>
      </w:r>
      <w:r w:rsidR="00881786">
        <w:t xml:space="preserve"> contains </w:t>
      </w:r>
      <w:r w:rsidR="00881786" w:rsidRPr="00881786">
        <w:t xml:space="preserve">326768 </w:t>
      </w:r>
      <w:r w:rsidR="00881786">
        <w:t xml:space="preserve">historic transaction records of </w:t>
      </w:r>
      <w:r w:rsidR="00881786" w:rsidRPr="00881786">
        <w:t>215518</w:t>
      </w:r>
      <w:r w:rsidR="00881786">
        <w:t xml:space="preserve"> Russian company’s customers </w:t>
      </w:r>
      <w:r w:rsidR="009C5357">
        <w:t xml:space="preserve">who were active in a 6-month period (July through December 2022). </w:t>
      </w:r>
      <w:r w:rsidR="009C5357" w:rsidRPr="009C5357">
        <w:t xml:space="preserve">The company owns a chain of Japanese restaurants located in 114 cities of </w:t>
      </w:r>
      <w:r w:rsidR="009C5357">
        <w:t>Russia</w:t>
      </w:r>
      <w:r w:rsidR="009C5357" w:rsidRPr="009C5357">
        <w:t xml:space="preserve">. The sample contains the </w:t>
      </w:r>
      <w:r w:rsidR="009C5357">
        <w:t>buyer’s ID</w:t>
      </w:r>
      <w:r w:rsidR="009C5357" w:rsidRPr="009C5357">
        <w:t xml:space="preserve">, </w:t>
      </w:r>
      <w:r w:rsidR="009C5357">
        <w:t>transaction date</w:t>
      </w:r>
      <w:r w:rsidR="009C5357" w:rsidRPr="009C5357">
        <w:t xml:space="preserve">, product set and </w:t>
      </w:r>
      <w:r w:rsidR="00C414EB">
        <w:t>monetary value</w:t>
      </w:r>
      <w:r w:rsidR="009C5357" w:rsidRPr="009C5357">
        <w:t>.</w:t>
      </w:r>
    </w:p>
    <w:p w14:paraId="34780DEA" w14:textId="77777777" w:rsidR="00C414EB" w:rsidRPr="00796A9B" w:rsidRDefault="00C414EB" w:rsidP="00904E8E">
      <w:pPr>
        <w:spacing w:line="240" w:lineRule="auto"/>
      </w:pPr>
    </w:p>
    <w:p w14:paraId="2B5F4717" w14:textId="0136F4E2" w:rsidR="00904E8E" w:rsidRPr="00796A9B" w:rsidRDefault="00904E8E" w:rsidP="00904E8E">
      <w:pPr>
        <w:spacing w:line="240" w:lineRule="auto"/>
      </w:pPr>
    </w:p>
    <w:p w14:paraId="345D2611" w14:textId="748A3B35" w:rsidR="00904E8E" w:rsidRPr="00796A9B" w:rsidRDefault="00904E8E" w:rsidP="00904E8E">
      <w:pPr>
        <w:spacing w:line="240" w:lineRule="auto"/>
      </w:pPr>
    </w:p>
    <w:p w14:paraId="760E4E35" w14:textId="1DDB49B5" w:rsidR="00904E8E" w:rsidRPr="00796A9B" w:rsidRDefault="00904E8E" w:rsidP="00904E8E">
      <w:pPr>
        <w:spacing w:line="240" w:lineRule="auto"/>
      </w:pPr>
    </w:p>
    <w:p w14:paraId="00A76160" w14:textId="77777777" w:rsidR="00904E8E" w:rsidRPr="00796A9B" w:rsidRDefault="00904E8E" w:rsidP="00904E8E">
      <w:pPr>
        <w:spacing w:line="240" w:lineRule="auto"/>
      </w:pPr>
    </w:p>
    <w:p w14:paraId="6DD479BE" w14:textId="77777777" w:rsidR="00067901" w:rsidRPr="00796A9B" w:rsidRDefault="00067901" w:rsidP="00FE41DF">
      <w:pPr>
        <w:spacing w:line="240" w:lineRule="auto"/>
      </w:pPr>
    </w:p>
    <w:p w14:paraId="014F7A7B" w14:textId="77777777" w:rsidR="00494E25" w:rsidRDefault="00494E25" w:rsidP="00423384">
      <w:pPr>
        <w:spacing w:line="240" w:lineRule="auto"/>
        <w:ind w:firstLine="0"/>
        <w:jc w:val="right"/>
        <w:rPr>
          <w:sz w:val="24"/>
          <w:szCs w:val="24"/>
        </w:rPr>
      </w:pPr>
    </w:p>
    <w:p w14:paraId="04577927" w14:textId="352FAEBE" w:rsidR="008F1AE4" w:rsidRPr="00C414EB" w:rsidRDefault="00C414EB" w:rsidP="00423384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Table</w:t>
      </w:r>
      <w:r w:rsidR="001863E2">
        <w:rPr>
          <w:sz w:val="24"/>
          <w:szCs w:val="24"/>
          <w:lang w:val="ru-RU"/>
        </w:rPr>
        <w:t xml:space="preserve"> 1. </w:t>
      </w:r>
      <w:r>
        <w:rPr>
          <w:sz w:val="24"/>
          <w:szCs w:val="24"/>
        </w:rPr>
        <w:t xml:space="preserve">Model </w:t>
      </w:r>
      <w:r w:rsidR="00A66E2F">
        <w:rPr>
          <w:sz w:val="24"/>
          <w:szCs w:val="24"/>
        </w:rPr>
        <w:t>C</w:t>
      </w:r>
      <w:r>
        <w:rPr>
          <w:sz w:val="24"/>
          <w:szCs w:val="24"/>
        </w:rPr>
        <w:t>omparison</w:t>
      </w:r>
    </w:p>
    <w:tbl>
      <w:tblPr>
        <w:tblStyle w:val="TableGrid"/>
        <w:tblW w:w="10233" w:type="dxa"/>
        <w:jc w:val="right"/>
        <w:tblLook w:val="04A0" w:firstRow="1" w:lastRow="0" w:firstColumn="1" w:lastColumn="0" w:noHBand="0" w:noVBand="1"/>
      </w:tblPr>
      <w:tblGrid>
        <w:gridCol w:w="2036"/>
        <w:gridCol w:w="1996"/>
        <w:gridCol w:w="1995"/>
        <w:gridCol w:w="2285"/>
        <w:gridCol w:w="1921"/>
      </w:tblGrid>
      <w:tr w:rsidR="005772F4" w14:paraId="3049F2AB" w14:textId="4D785D0C" w:rsidTr="004511F3">
        <w:trPr>
          <w:jc w:val="right"/>
        </w:trPr>
        <w:tc>
          <w:tcPr>
            <w:tcW w:w="2036" w:type="dxa"/>
            <w:vMerge w:val="restart"/>
            <w:vAlign w:val="center"/>
          </w:tcPr>
          <w:p w14:paraId="040B4877" w14:textId="462C0BD8" w:rsidR="005772F4" w:rsidRPr="00564545" w:rsidRDefault="00F57509" w:rsidP="00423384">
            <w:pPr>
              <w:ind w:firstLine="0"/>
              <w:jc w:val="center"/>
              <w:rPr>
                <w:sz w:val="24"/>
                <w:szCs w:val="24"/>
              </w:rPr>
            </w:pPr>
            <w:bookmarkStart w:id="1" w:name="_Hlk118495336"/>
            <w:r w:rsidRPr="00564545">
              <w:rPr>
                <w:sz w:val="24"/>
                <w:szCs w:val="24"/>
              </w:rPr>
              <w:t>Feature</w:t>
            </w:r>
          </w:p>
        </w:tc>
        <w:tc>
          <w:tcPr>
            <w:tcW w:w="1996" w:type="dxa"/>
            <w:vAlign w:val="center"/>
          </w:tcPr>
          <w:p w14:paraId="3FE7AFF5" w14:textId="37ED3B7B" w:rsidR="005772F4" w:rsidRPr="001E6F84" w:rsidRDefault="005772F4" w:rsidP="0042338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E6F84">
              <w:rPr>
                <w:sz w:val="24"/>
                <w:szCs w:val="24"/>
                <w:lang w:val="ru-RU"/>
              </w:rPr>
              <w:t>Pareto</w:t>
            </w:r>
            <w:proofErr w:type="spellEnd"/>
            <w:r w:rsidRPr="001E6F84">
              <w:rPr>
                <w:sz w:val="24"/>
                <w:szCs w:val="24"/>
                <w:lang w:val="ru-RU"/>
              </w:rPr>
              <w:t>/NBD</w:t>
            </w:r>
          </w:p>
        </w:tc>
        <w:tc>
          <w:tcPr>
            <w:tcW w:w="1995" w:type="dxa"/>
            <w:vAlign w:val="center"/>
          </w:tcPr>
          <w:p w14:paraId="36562E37" w14:textId="680F0C6F" w:rsidR="005772F4" w:rsidRPr="001E6F84" w:rsidRDefault="005772F4" w:rsidP="0042338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E6F84">
              <w:rPr>
                <w:sz w:val="24"/>
                <w:szCs w:val="24"/>
                <w:lang w:val="ru-RU"/>
              </w:rPr>
              <w:t>BG/NBD</w:t>
            </w:r>
          </w:p>
        </w:tc>
        <w:tc>
          <w:tcPr>
            <w:tcW w:w="2285" w:type="dxa"/>
            <w:vAlign w:val="center"/>
          </w:tcPr>
          <w:p w14:paraId="4BBF0DB6" w14:textId="33E62711" w:rsidR="005772F4" w:rsidRPr="001E6F84" w:rsidRDefault="005772F4" w:rsidP="0042338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E6F84">
              <w:rPr>
                <w:sz w:val="24"/>
                <w:szCs w:val="24"/>
                <w:lang w:val="ru-RU"/>
              </w:rPr>
              <w:t>MBG/NBD</w:t>
            </w:r>
          </w:p>
        </w:tc>
        <w:tc>
          <w:tcPr>
            <w:tcW w:w="1921" w:type="dxa"/>
            <w:vAlign w:val="center"/>
          </w:tcPr>
          <w:p w14:paraId="1D968322" w14:textId="4911C060" w:rsidR="005772F4" w:rsidRPr="00382AC2" w:rsidRDefault="005772F4" w:rsidP="004233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Pareto/GGG</w:t>
            </w:r>
          </w:p>
        </w:tc>
      </w:tr>
      <w:bookmarkEnd w:id="1"/>
      <w:tr w:rsidR="005772F4" w14:paraId="7F086510" w14:textId="77777777" w:rsidTr="004511F3">
        <w:trPr>
          <w:jc w:val="right"/>
        </w:trPr>
        <w:tc>
          <w:tcPr>
            <w:tcW w:w="2036" w:type="dxa"/>
            <w:vMerge/>
            <w:vAlign w:val="center"/>
          </w:tcPr>
          <w:p w14:paraId="057F4D76" w14:textId="77777777" w:rsidR="005772F4" w:rsidRPr="00564545" w:rsidRDefault="005772F4" w:rsidP="0042338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96" w:type="dxa"/>
            <w:vAlign w:val="center"/>
          </w:tcPr>
          <w:p w14:paraId="7FCB66E1" w14:textId="2C624877" w:rsidR="005772F4" w:rsidRPr="001E6F84" w:rsidRDefault="005772F4" w:rsidP="0042338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E6F84">
              <w:rPr>
                <w:sz w:val="24"/>
                <w:szCs w:val="24"/>
                <w:lang w:val="ru-RU"/>
              </w:rPr>
              <w:t>Schmittlein</w:t>
            </w:r>
            <w:proofErr w:type="spellEnd"/>
            <w:r w:rsidRPr="001E6F8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6F84">
              <w:rPr>
                <w:sz w:val="24"/>
                <w:szCs w:val="24"/>
                <w:lang w:val="ru-RU"/>
              </w:rPr>
              <w:t>et</w:t>
            </w:r>
            <w:proofErr w:type="spellEnd"/>
            <w:r w:rsidRPr="001E6F8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6F84">
              <w:rPr>
                <w:sz w:val="24"/>
                <w:szCs w:val="24"/>
                <w:lang w:val="ru-RU"/>
              </w:rPr>
              <w:t>al</w:t>
            </w:r>
            <w:proofErr w:type="spellEnd"/>
            <w:r w:rsidRPr="001E6F84">
              <w:rPr>
                <w:sz w:val="24"/>
                <w:szCs w:val="24"/>
                <w:lang w:val="ru-RU"/>
              </w:rPr>
              <w:t>. (1987)</w:t>
            </w:r>
          </w:p>
        </w:tc>
        <w:tc>
          <w:tcPr>
            <w:tcW w:w="1995" w:type="dxa"/>
            <w:vAlign w:val="center"/>
          </w:tcPr>
          <w:p w14:paraId="633FD22A" w14:textId="3822AE4B" w:rsidR="005772F4" w:rsidRDefault="005772F4" w:rsidP="00423384">
            <w:pPr>
              <w:ind w:firstLine="0"/>
              <w:jc w:val="center"/>
              <w:rPr>
                <w:sz w:val="24"/>
                <w:szCs w:val="24"/>
              </w:rPr>
            </w:pPr>
            <w:r w:rsidRPr="001E6F84">
              <w:rPr>
                <w:sz w:val="24"/>
                <w:szCs w:val="24"/>
              </w:rPr>
              <w:t>Fader et al.</w:t>
            </w:r>
          </w:p>
          <w:p w14:paraId="3936BCBA" w14:textId="31D56992" w:rsidR="005772F4" w:rsidRPr="001E6F84" w:rsidRDefault="005772F4" w:rsidP="00423384">
            <w:pPr>
              <w:ind w:firstLine="0"/>
              <w:jc w:val="center"/>
              <w:rPr>
                <w:sz w:val="24"/>
                <w:szCs w:val="24"/>
              </w:rPr>
            </w:pPr>
            <w:r w:rsidRPr="001E6F84">
              <w:rPr>
                <w:sz w:val="24"/>
                <w:szCs w:val="24"/>
              </w:rPr>
              <w:t>(2005)</w:t>
            </w:r>
          </w:p>
        </w:tc>
        <w:tc>
          <w:tcPr>
            <w:tcW w:w="2285" w:type="dxa"/>
            <w:vAlign w:val="center"/>
          </w:tcPr>
          <w:p w14:paraId="04CDBF8C" w14:textId="77777777" w:rsidR="005772F4" w:rsidRDefault="005772F4" w:rsidP="0042338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E6F84">
              <w:rPr>
                <w:sz w:val="24"/>
                <w:szCs w:val="24"/>
                <w:lang w:val="ru-RU"/>
              </w:rPr>
              <w:t>Batislam</w:t>
            </w:r>
            <w:proofErr w:type="spellEnd"/>
            <w:r w:rsidRPr="001E6F84">
              <w:rPr>
                <w:sz w:val="24"/>
                <w:szCs w:val="24"/>
              </w:rPr>
              <w:t xml:space="preserve"> et al.</w:t>
            </w:r>
          </w:p>
          <w:p w14:paraId="24A5CFF0" w14:textId="643A0DE3" w:rsidR="005772F4" w:rsidRPr="001E6F84" w:rsidRDefault="005772F4" w:rsidP="00423384">
            <w:pPr>
              <w:ind w:firstLine="0"/>
              <w:jc w:val="center"/>
              <w:rPr>
                <w:sz w:val="24"/>
                <w:szCs w:val="24"/>
              </w:rPr>
            </w:pPr>
            <w:r w:rsidRPr="001E6F84">
              <w:rPr>
                <w:sz w:val="24"/>
                <w:szCs w:val="24"/>
              </w:rPr>
              <w:t>(2007)</w:t>
            </w:r>
          </w:p>
        </w:tc>
        <w:tc>
          <w:tcPr>
            <w:tcW w:w="1921" w:type="dxa"/>
            <w:vAlign w:val="center"/>
          </w:tcPr>
          <w:p w14:paraId="1ADBD85F" w14:textId="6A8BB934" w:rsidR="005772F4" w:rsidRPr="009E6822" w:rsidRDefault="005772F4" w:rsidP="0042338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E6822">
              <w:rPr>
                <w:sz w:val="24"/>
                <w:szCs w:val="24"/>
                <w:lang w:val="ru-RU"/>
              </w:rPr>
              <w:t>Reutterer</w:t>
            </w:r>
            <w:proofErr w:type="spellEnd"/>
            <w:r>
              <w:rPr>
                <w:sz w:val="24"/>
                <w:szCs w:val="24"/>
              </w:rPr>
              <w:t xml:space="preserve"> et al. (2016)</w:t>
            </w:r>
          </w:p>
        </w:tc>
      </w:tr>
      <w:tr w:rsidR="005772F4" w:rsidRPr="00BB165D" w14:paraId="6FA15397" w14:textId="77777777" w:rsidTr="004511F3">
        <w:trPr>
          <w:jc w:val="right"/>
        </w:trPr>
        <w:tc>
          <w:tcPr>
            <w:tcW w:w="2036" w:type="dxa"/>
            <w:vAlign w:val="center"/>
          </w:tcPr>
          <w:p w14:paraId="1053ECAC" w14:textId="6D7168C9" w:rsidR="005772F4" w:rsidRPr="00564545" w:rsidRDefault="00020CF7" w:rsidP="00423384">
            <w:pPr>
              <w:ind w:firstLine="0"/>
              <w:jc w:val="center"/>
              <w:rPr>
                <w:sz w:val="24"/>
                <w:szCs w:val="24"/>
              </w:rPr>
            </w:pPr>
            <w:r w:rsidRPr="00564545">
              <w:rPr>
                <w:sz w:val="24"/>
                <w:szCs w:val="24"/>
              </w:rPr>
              <w:t>Modeling transaction process</w:t>
            </w:r>
          </w:p>
        </w:tc>
        <w:tc>
          <w:tcPr>
            <w:tcW w:w="1996" w:type="dxa"/>
            <w:vAlign w:val="center"/>
          </w:tcPr>
          <w:p w14:paraId="7EAB30A3" w14:textId="1F00822E" w:rsidR="005772F4" w:rsidRPr="001E6F84" w:rsidRDefault="00BB165D" w:rsidP="0042338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B165D">
              <w:rPr>
                <w:sz w:val="24"/>
                <w:szCs w:val="24"/>
                <w:lang w:val="ru-RU"/>
              </w:rPr>
              <w:t>Negative</w:t>
            </w:r>
            <w:proofErr w:type="spellEnd"/>
            <w:r w:rsidRPr="00BB16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165D">
              <w:rPr>
                <w:sz w:val="24"/>
                <w:szCs w:val="24"/>
                <w:lang w:val="ru-RU"/>
              </w:rPr>
              <w:t>binomial</w:t>
            </w:r>
            <w:proofErr w:type="spellEnd"/>
            <w:r w:rsidRPr="00BB16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165D">
              <w:rPr>
                <w:sz w:val="24"/>
                <w:szCs w:val="24"/>
                <w:lang w:val="ru-RU"/>
              </w:rPr>
              <w:t>distribution</w:t>
            </w:r>
            <w:proofErr w:type="spellEnd"/>
          </w:p>
        </w:tc>
        <w:tc>
          <w:tcPr>
            <w:tcW w:w="1995" w:type="dxa"/>
            <w:vAlign w:val="center"/>
          </w:tcPr>
          <w:p w14:paraId="0875D93A" w14:textId="39590070" w:rsidR="005772F4" w:rsidRPr="001E6F84" w:rsidRDefault="00BB165D" w:rsidP="00423384">
            <w:pPr>
              <w:ind w:firstLine="0"/>
              <w:jc w:val="center"/>
              <w:rPr>
                <w:sz w:val="24"/>
                <w:szCs w:val="24"/>
              </w:rPr>
            </w:pPr>
            <w:r w:rsidRPr="00BB165D">
              <w:rPr>
                <w:sz w:val="24"/>
                <w:szCs w:val="24"/>
              </w:rPr>
              <w:t>Negative binomial distribution</w:t>
            </w:r>
          </w:p>
        </w:tc>
        <w:tc>
          <w:tcPr>
            <w:tcW w:w="2285" w:type="dxa"/>
            <w:vAlign w:val="center"/>
          </w:tcPr>
          <w:p w14:paraId="2C1B2ADD" w14:textId="2017A724" w:rsidR="005772F4" w:rsidRPr="001E6F84" w:rsidRDefault="00BB165D" w:rsidP="0042338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B165D">
              <w:rPr>
                <w:sz w:val="24"/>
                <w:szCs w:val="24"/>
                <w:lang w:val="ru-RU"/>
              </w:rPr>
              <w:t>Negative</w:t>
            </w:r>
            <w:proofErr w:type="spellEnd"/>
            <w:r w:rsidRPr="00BB16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165D">
              <w:rPr>
                <w:sz w:val="24"/>
                <w:szCs w:val="24"/>
                <w:lang w:val="ru-RU"/>
              </w:rPr>
              <w:t>binomial</w:t>
            </w:r>
            <w:proofErr w:type="spellEnd"/>
            <w:r w:rsidRPr="00BB16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165D">
              <w:rPr>
                <w:sz w:val="24"/>
                <w:szCs w:val="24"/>
                <w:lang w:val="ru-RU"/>
              </w:rPr>
              <w:t>distribution</w:t>
            </w:r>
            <w:proofErr w:type="spellEnd"/>
          </w:p>
        </w:tc>
        <w:tc>
          <w:tcPr>
            <w:tcW w:w="1921" w:type="dxa"/>
            <w:vAlign w:val="center"/>
          </w:tcPr>
          <w:p w14:paraId="4E3C053A" w14:textId="625632F2" w:rsidR="005772F4" w:rsidRPr="00BB165D" w:rsidRDefault="00BB165D" w:rsidP="004233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mixture of 3 gamma distributions</w:t>
            </w:r>
          </w:p>
        </w:tc>
      </w:tr>
      <w:tr w:rsidR="005772F4" w14:paraId="16BEC090" w14:textId="77777777" w:rsidTr="004511F3">
        <w:trPr>
          <w:jc w:val="right"/>
        </w:trPr>
        <w:tc>
          <w:tcPr>
            <w:tcW w:w="2036" w:type="dxa"/>
            <w:vAlign w:val="center"/>
          </w:tcPr>
          <w:p w14:paraId="73B7FD77" w14:textId="38D01153" w:rsidR="005772F4" w:rsidRPr="00564545" w:rsidRDefault="00020CF7" w:rsidP="00423384">
            <w:pPr>
              <w:ind w:firstLine="0"/>
              <w:jc w:val="center"/>
              <w:rPr>
                <w:sz w:val="24"/>
                <w:szCs w:val="24"/>
              </w:rPr>
            </w:pPr>
            <w:r w:rsidRPr="00564545">
              <w:rPr>
                <w:sz w:val="24"/>
                <w:szCs w:val="24"/>
              </w:rPr>
              <w:t>Modeling individuals' attrition</w:t>
            </w:r>
          </w:p>
        </w:tc>
        <w:tc>
          <w:tcPr>
            <w:tcW w:w="1996" w:type="dxa"/>
            <w:vAlign w:val="center"/>
          </w:tcPr>
          <w:p w14:paraId="7483AD59" w14:textId="7CCCE450" w:rsidR="005772F4" w:rsidRPr="001E6F84" w:rsidRDefault="00BB165D" w:rsidP="0042338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B165D">
              <w:rPr>
                <w:sz w:val="24"/>
                <w:szCs w:val="24"/>
                <w:lang w:val="ru-RU"/>
              </w:rPr>
              <w:t>Pareto</w:t>
            </w:r>
            <w:proofErr w:type="spellEnd"/>
            <w:r w:rsidRPr="00BB16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165D">
              <w:rPr>
                <w:sz w:val="24"/>
                <w:szCs w:val="24"/>
                <w:lang w:val="ru-RU"/>
              </w:rPr>
              <w:t>distribution</w:t>
            </w:r>
            <w:proofErr w:type="spellEnd"/>
          </w:p>
        </w:tc>
        <w:tc>
          <w:tcPr>
            <w:tcW w:w="1995" w:type="dxa"/>
            <w:vAlign w:val="center"/>
          </w:tcPr>
          <w:p w14:paraId="7A9E178E" w14:textId="25236F5D" w:rsidR="005772F4" w:rsidRPr="003F7015" w:rsidRDefault="00BB165D" w:rsidP="0042338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B165D">
              <w:rPr>
                <w:sz w:val="24"/>
                <w:szCs w:val="24"/>
                <w:lang w:val="ru-RU"/>
              </w:rPr>
              <w:t>Beta-geometric</w:t>
            </w:r>
            <w:proofErr w:type="spellEnd"/>
            <w:r w:rsidRPr="00BB16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165D">
              <w:rPr>
                <w:sz w:val="24"/>
                <w:szCs w:val="24"/>
                <w:lang w:val="ru-RU"/>
              </w:rPr>
              <w:t>distribution</w:t>
            </w:r>
            <w:proofErr w:type="spellEnd"/>
          </w:p>
        </w:tc>
        <w:tc>
          <w:tcPr>
            <w:tcW w:w="2285" w:type="dxa"/>
            <w:vAlign w:val="center"/>
          </w:tcPr>
          <w:p w14:paraId="1DFA95E7" w14:textId="569CE151" w:rsidR="005772F4" w:rsidRPr="001E6F84" w:rsidRDefault="00BB165D" w:rsidP="0042338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Modified b</w:t>
            </w:r>
            <w:proofErr w:type="spellStart"/>
            <w:r w:rsidRPr="00BB165D">
              <w:rPr>
                <w:sz w:val="24"/>
                <w:szCs w:val="24"/>
                <w:lang w:val="ru-RU"/>
              </w:rPr>
              <w:t>eta-geometric</w:t>
            </w:r>
            <w:proofErr w:type="spellEnd"/>
            <w:r w:rsidRPr="00BB16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165D">
              <w:rPr>
                <w:sz w:val="24"/>
                <w:szCs w:val="24"/>
                <w:lang w:val="ru-RU"/>
              </w:rPr>
              <w:t>distribution</w:t>
            </w:r>
            <w:proofErr w:type="spellEnd"/>
          </w:p>
        </w:tc>
        <w:tc>
          <w:tcPr>
            <w:tcW w:w="1921" w:type="dxa"/>
            <w:vAlign w:val="center"/>
          </w:tcPr>
          <w:p w14:paraId="39373A27" w14:textId="252D3F68" w:rsidR="005772F4" w:rsidRPr="009E6822" w:rsidRDefault="00BB165D" w:rsidP="0042338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B165D">
              <w:rPr>
                <w:sz w:val="24"/>
                <w:szCs w:val="24"/>
                <w:lang w:val="ru-RU"/>
              </w:rPr>
              <w:t>Pareto</w:t>
            </w:r>
            <w:proofErr w:type="spellEnd"/>
            <w:r w:rsidRPr="00BB16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165D">
              <w:rPr>
                <w:sz w:val="24"/>
                <w:szCs w:val="24"/>
                <w:lang w:val="ru-RU"/>
              </w:rPr>
              <w:t>distribution</w:t>
            </w:r>
            <w:proofErr w:type="spellEnd"/>
          </w:p>
        </w:tc>
      </w:tr>
      <w:tr w:rsidR="004511F3" w:rsidRPr="00020CF7" w14:paraId="7C37FD86" w14:textId="2BB2C914" w:rsidTr="004511F3">
        <w:trPr>
          <w:jc w:val="right"/>
        </w:trPr>
        <w:tc>
          <w:tcPr>
            <w:tcW w:w="2036" w:type="dxa"/>
            <w:vAlign w:val="center"/>
          </w:tcPr>
          <w:p w14:paraId="5D1CA902" w14:textId="3F2ECDA1" w:rsidR="004511F3" w:rsidRPr="00564545" w:rsidRDefault="00020CF7" w:rsidP="00423384">
            <w:pPr>
              <w:ind w:firstLine="0"/>
              <w:jc w:val="center"/>
              <w:rPr>
                <w:sz w:val="24"/>
                <w:szCs w:val="24"/>
              </w:rPr>
            </w:pPr>
            <w:r w:rsidRPr="00564545">
              <w:rPr>
                <w:sz w:val="24"/>
                <w:szCs w:val="24"/>
              </w:rPr>
              <w:t>Data requirements</w:t>
            </w:r>
          </w:p>
        </w:tc>
        <w:tc>
          <w:tcPr>
            <w:tcW w:w="8197" w:type="dxa"/>
            <w:gridSpan w:val="4"/>
            <w:vAlign w:val="center"/>
          </w:tcPr>
          <w:p w14:paraId="04D8DB56" w14:textId="32F4CD69" w:rsidR="004511F3" w:rsidRPr="00020CF7" w:rsidRDefault="00BB165D" w:rsidP="004233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Recency, frequency and </w:t>
            </w:r>
            <w:r w:rsidR="00020CF7">
              <w:rPr>
                <w:sz w:val="24"/>
                <w:szCs w:val="24"/>
              </w:rPr>
              <w:t>age of the customer</w:t>
            </w:r>
          </w:p>
        </w:tc>
      </w:tr>
      <w:tr w:rsidR="005772F4" w:rsidRPr="00801238" w14:paraId="21A0371F" w14:textId="77777777" w:rsidTr="004511F3">
        <w:trPr>
          <w:jc w:val="right"/>
        </w:trPr>
        <w:tc>
          <w:tcPr>
            <w:tcW w:w="2036" w:type="dxa"/>
            <w:vAlign w:val="center"/>
          </w:tcPr>
          <w:p w14:paraId="6A896C0E" w14:textId="29F4D5C8" w:rsidR="005772F4" w:rsidRPr="00564545" w:rsidRDefault="000A04D6" w:rsidP="00423384">
            <w:pPr>
              <w:ind w:firstLine="0"/>
              <w:jc w:val="center"/>
              <w:rPr>
                <w:sz w:val="24"/>
                <w:szCs w:val="24"/>
              </w:rPr>
            </w:pPr>
            <w:r w:rsidRPr="00564545">
              <w:rPr>
                <w:sz w:val="24"/>
                <w:szCs w:val="24"/>
              </w:rPr>
              <w:t>Peculiarities</w:t>
            </w:r>
          </w:p>
        </w:tc>
        <w:tc>
          <w:tcPr>
            <w:tcW w:w="1996" w:type="dxa"/>
            <w:vAlign w:val="center"/>
          </w:tcPr>
          <w:p w14:paraId="35034E65" w14:textId="1965AB1E" w:rsidR="005772F4" w:rsidRPr="00D763B4" w:rsidRDefault="00D763B4" w:rsidP="004233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D763B4">
              <w:rPr>
                <w:sz w:val="24"/>
                <w:szCs w:val="24"/>
              </w:rPr>
              <w:t>ropout can occur at any point in time, independent of the occurrence of actual purchases</w:t>
            </w:r>
          </w:p>
        </w:tc>
        <w:tc>
          <w:tcPr>
            <w:tcW w:w="1995" w:type="dxa"/>
            <w:vAlign w:val="center"/>
          </w:tcPr>
          <w:p w14:paraId="15128BEB" w14:textId="77777777" w:rsidR="007A5CD3" w:rsidRPr="007A5CD3" w:rsidRDefault="007A5CD3" w:rsidP="007A5CD3">
            <w:pPr>
              <w:ind w:firstLine="0"/>
              <w:jc w:val="center"/>
              <w:rPr>
                <w:sz w:val="24"/>
                <w:szCs w:val="24"/>
              </w:rPr>
            </w:pPr>
            <w:r w:rsidRPr="007A5CD3">
              <w:rPr>
                <w:sz w:val="24"/>
                <w:szCs w:val="24"/>
              </w:rPr>
              <w:t>After any transaction, a customer becomes</w:t>
            </w:r>
          </w:p>
          <w:p w14:paraId="5AE35574" w14:textId="50772DA8" w:rsidR="005772F4" w:rsidRPr="006B724A" w:rsidRDefault="007A5CD3" w:rsidP="007A5CD3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A5CD3">
              <w:rPr>
                <w:sz w:val="24"/>
                <w:szCs w:val="24"/>
                <w:lang w:val="ru-RU"/>
              </w:rPr>
              <w:t>inactive</w:t>
            </w:r>
            <w:proofErr w:type="spellEnd"/>
          </w:p>
        </w:tc>
        <w:tc>
          <w:tcPr>
            <w:tcW w:w="2285" w:type="dxa"/>
            <w:vAlign w:val="center"/>
          </w:tcPr>
          <w:p w14:paraId="5E521808" w14:textId="585D0E2D" w:rsidR="005772F4" w:rsidRPr="00D763B4" w:rsidRDefault="00A9177C" w:rsidP="00D763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Considers</w:t>
            </w:r>
            <w:r w:rsidR="00D763B4" w:rsidRPr="00D763B4">
              <w:rPr>
                <w:sz w:val="24"/>
                <w:szCs w:val="24"/>
              </w:rPr>
              <w:t xml:space="preserve"> an additional chance of dropout</w:t>
            </w:r>
            <w:r w:rsidR="00D763B4">
              <w:rPr>
                <w:sz w:val="24"/>
                <w:szCs w:val="24"/>
              </w:rPr>
              <w:t xml:space="preserve"> </w:t>
            </w:r>
            <w:r w:rsidR="00D763B4" w:rsidRPr="00D763B4">
              <w:rPr>
                <w:sz w:val="24"/>
                <w:szCs w:val="24"/>
              </w:rPr>
              <w:t>immediately after the first purchase</w:t>
            </w:r>
          </w:p>
        </w:tc>
        <w:tc>
          <w:tcPr>
            <w:tcW w:w="1921" w:type="dxa"/>
            <w:vAlign w:val="center"/>
          </w:tcPr>
          <w:p w14:paraId="1BD0502B" w14:textId="2BD82027" w:rsidR="005772F4" w:rsidRPr="00564545" w:rsidRDefault="00A9177C" w:rsidP="004233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Considers</w:t>
            </w:r>
            <w:r w:rsidR="00564545">
              <w:rPr>
                <w:sz w:val="24"/>
                <w:szCs w:val="24"/>
              </w:rPr>
              <w:t xml:space="preserve"> </w:t>
            </w:r>
            <w:r w:rsidR="00564545" w:rsidRPr="00564545">
              <w:rPr>
                <w:sz w:val="24"/>
                <w:szCs w:val="24"/>
              </w:rPr>
              <w:t xml:space="preserve">observed </w:t>
            </w:r>
            <w:proofErr w:type="spellStart"/>
            <w:r w:rsidR="00564545" w:rsidRPr="00564545">
              <w:rPr>
                <w:sz w:val="24"/>
                <w:szCs w:val="24"/>
              </w:rPr>
              <w:t>intertransaction</w:t>
            </w:r>
            <w:proofErr w:type="spellEnd"/>
            <w:r w:rsidR="00564545" w:rsidRPr="00564545">
              <w:rPr>
                <w:sz w:val="24"/>
                <w:szCs w:val="24"/>
              </w:rPr>
              <w:t xml:space="preserve"> timing patterns</w:t>
            </w:r>
          </w:p>
        </w:tc>
      </w:tr>
    </w:tbl>
    <w:p w14:paraId="4B0068F8" w14:textId="28683521" w:rsidR="00423384" w:rsidRPr="00564545" w:rsidRDefault="00564545" w:rsidP="00564545">
      <w:pPr>
        <w:spacing w:line="240" w:lineRule="auto"/>
        <w:ind w:firstLine="0"/>
        <w:rPr>
          <w:sz w:val="24"/>
          <w:szCs w:val="24"/>
        </w:rPr>
      </w:pPr>
      <w:bookmarkStart w:id="2" w:name="_Hlk118567690"/>
      <w:r>
        <w:rPr>
          <w:i/>
          <w:iCs/>
          <w:sz w:val="24"/>
          <w:szCs w:val="24"/>
        </w:rPr>
        <w:t>Source</w:t>
      </w:r>
      <w:r w:rsidR="00423384" w:rsidRPr="00564545">
        <w:rPr>
          <w:i/>
          <w:iCs/>
          <w:sz w:val="24"/>
          <w:szCs w:val="24"/>
        </w:rPr>
        <w:t>:</w:t>
      </w:r>
      <w:r w:rsidR="00423384" w:rsidRPr="00564545">
        <w:rPr>
          <w:sz w:val="24"/>
          <w:szCs w:val="24"/>
        </w:rPr>
        <w:t xml:space="preserve"> </w:t>
      </w:r>
      <w:r>
        <w:rPr>
          <w:sz w:val="24"/>
          <w:szCs w:val="24"/>
        </w:rPr>
        <w:t>compiled by the author</w:t>
      </w:r>
      <w:r w:rsidR="005A6364">
        <w:rPr>
          <w:sz w:val="24"/>
          <w:szCs w:val="24"/>
        </w:rPr>
        <w:t xml:space="preserve"> based on works of </w:t>
      </w:r>
      <w:proofErr w:type="spellStart"/>
      <w:r w:rsidR="005A6364" w:rsidRPr="005A6364">
        <w:rPr>
          <w:sz w:val="24"/>
          <w:szCs w:val="24"/>
        </w:rPr>
        <w:t>Schmittlein</w:t>
      </w:r>
      <w:proofErr w:type="spellEnd"/>
      <w:r w:rsidR="005A6364" w:rsidRPr="005A6364">
        <w:rPr>
          <w:sz w:val="24"/>
          <w:szCs w:val="24"/>
        </w:rPr>
        <w:t xml:space="preserve"> et al. (1987),</w:t>
      </w:r>
      <w:r w:rsidR="005A6364">
        <w:rPr>
          <w:sz w:val="24"/>
          <w:szCs w:val="24"/>
        </w:rPr>
        <w:t xml:space="preserve"> </w:t>
      </w:r>
      <w:r w:rsidR="005A6364" w:rsidRPr="005A6364">
        <w:rPr>
          <w:sz w:val="24"/>
          <w:szCs w:val="24"/>
        </w:rPr>
        <w:t xml:space="preserve">Fader et al. (2005), </w:t>
      </w:r>
      <w:proofErr w:type="spellStart"/>
      <w:r w:rsidR="005A6364" w:rsidRPr="005A6364">
        <w:rPr>
          <w:sz w:val="24"/>
          <w:szCs w:val="24"/>
        </w:rPr>
        <w:t>Batislam</w:t>
      </w:r>
      <w:proofErr w:type="spellEnd"/>
      <w:r w:rsidR="005A6364" w:rsidRPr="005A6364">
        <w:rPr>
          <w:sz w:val="24"/>
          <w:szCs w:val="24"/>
        </w:rPr>
        <w:t xml:space="preserve"> et al. (2007), </w:t>
      </w:r>
      <w:proofErr w:type="spellStart"/>
      <w:r w:rsidR="005A6364" w:rsidRPr="005A6364">
        <w:rPr>
          <w:sz w:val="24"/>
          <w:szCs w:val="24"/>
        </w:rPr>
        <w:t>Reutterer</w:t>
      </w:r>
      <w:proofErr w:type="spellEnd"/>
      <w:r w:rsidR="005A6364" w:rsidRPr="005A6364">
        <w:rPr>
          <w:sz w:val="24"/>
          <w:szCs w:val="24"/>
        </w:rPr>
        <w:t xml:space="preserve"> et al. (2016).</w:t>
      </w:r>
    </w:p>
    <w:bookmarkEnd w:id="2"/>
    <w:p w14:paraId="714191F5" w14:textId="77777777" w:rsidR="00423384" w:rsidRPr="00564545" w:rsidRDefault="00423384" w:rsidP="00423384">
      <w:pPr>
        <w:spacing w:line="240" w:lineRule="auto"/>
        <w:rPr>
          <w:b/>
          <w:bCs/>
        </w:rPr>
      </w:pPr>
    </w:p>
    <w:p w14:paraId="53A8406C" w14:textId="304DD05F" w:rsidR="0023352C" w:rsidRPr="00A66E2F" w:rsidRDefault="004E174E" w:rsidP="00C414EB">
      <w:pPr>
        <w:spacing w:line="240" w:lineRule="auto"/>
      </w:pPr>
      <w:r>
        <w:rPr>
          <w:b/>
          <w:bCs/>
        </w:rPr>
        <w:t>Results</w:t>
      </w:r>
      <w:r w:rsidR="005772F4" w:rsidRPr="00564545">
        <w:rPr>
          <w:b/>
          <w:bCs/>
        </w:rPr>
        <w:t>.</w:t>
      </w:r>
      <w:r w:rsidR="005772F4" w:rsidRPr="00564545">
        <w:t xml:space="preserve"> </w:t>
      </w:r>
      <w:r w:rsidR="0023352C">
        <w:t xml:space="preserve">To achieve the parameter estimation of </w:t>
      </w:r>
      <w:r w:rsidR="0023352C" w:rsidRPr="0023352C">
        <w:t xml:space="preserve">Pareto/NBD, BG/NBD, MBG/NBD </w:t>
      </w:r>
      <w:r w:rsidR="0023352C">
        <w:t>and</w:t>
      </w:r>
      <w:r w:rsidR="0023352C" w:rsidRPr="0023352C">
        <w:t xml:space="preserve"> Pareto/GGG</w:t>
      </w:r>
      <w:r w:rsidR="0023352C">
        <w:t xml:space="preserve"> models, Python and R libraries have been used. The</w:t>
      </w:r>
      <w:r w:rsidR="0023352C" w:rsidRPr="00A66E2F">
        <w:t xml:space="preserve"> </w:t>
      </w:r>
      <w:r w:rsidR="0023352C">
        <w:t>results</w:t>
      </w:r>
      <w:r w:rsidR="0023352C" w:rsidRPr="00A66E2F">
        <w:t xml:space="preserve"> </w:t>
      </w:r>
      <w:r w:rsidR="0023352C">
        <w:t>are</w:t>
      </w:r>
      <w:r w:rsidR="00A66E2F" w:rsidRPr="00A66E2F">
        <w:t xml:space="preserve"> </w:t>
      </w:r>
      <w:r w:rsidR="00A66E2F">
        <w:t>printed</w:t>
      </w:r>
      <w:r w:rsidR="00A66E2F" w:rsidRPr="00A66E2F">
        <w:t xml:space="preserve"> </w:t>
      </w:r>
      <w:r w:rsidR="00A66E2F">
        <w:t>below</w:t>
      </w:r>
      <w:r w:rsidR="00A66E2F" w:rsidRPr="00A66E2F">
        <w:t xml:space="preserve"> (</w:t>
      </w:r>
      <w:r w:rsidR="000443C6">
        <w:t>T</w:t>
      </w:r>
      <w:r w:rsidR="00A66E2F">
        <w:t>able</w:t>
      </w:r>
      <w:r w:rsidR="00A66E2F" w:rsidRPr="00A66E2F">
        <w:t xml:space="preserve"> 2).</w:t>
      </w:r>
      <w:r w:rsidR="00A66E2F">
        <w:t xml:space="preserve"> Parameters of the gamma-gamma model were evaluated as well to forecast an average monetary value per transaction per customer.</w:t>
      </w:r>
    </w:p>
    <w:p w14:paraId="1E22A5A4" w14:textId="77777777" w:rsidR="00C414EB" w:rsidRPr="00796A9B" w:rsidRDefault="00C414EB" w:rsidP="00C414EB">
      <w:pPr>
        <w:spacing w:line="240" w:lineRule="auto"/>
      </w:pPr>
    </w:p>
    <w:p w14:paraId="09A37872" w14:textId="596418D1" w:rsidR="006E173C" w:rsidRPr="00A66E2F" w:rsidRDefault="00A66E2F" w:rsidP="00423384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Table</w:t>
      </w:r>
      <w:r w:rsidR="001863E2">
        <w:rPr>
          <w:sz w:val="24"/>
          <w:szCs w:val="24"/>
          <w:lang w:val="ru-RU"/>
        </w:rPr>
        <w:t xml:space="preserve"> 2. </w:t>
      </w:r>
      <w:r>
        <w:rPr>
          <w:sz w:val="24"/>
          <w:szCs w:val="24"/>
        </w:rPr>
        <w:t>Parameter Estimates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241FD" w:rsidRPr="002D6C3B" w14:paraId="50C70B14" w14:textId="77777777" w:rsidTr="004511F3">
        <w:tc>
          <w:tcPr>
            <w:tcW w:w="1925" w:type="dxa"/>
            <w:vAlign w:val="center"/>
          </w:tcPr>
          <w:p w14:paraId="24246220" w14:textId="122AFEF8" w:rsidR="004241FD" w:rsidRPr="00D81979" w:rsidRDefault="00D81979" w:rsidP="0042338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bookmarkStart w:id="3" w:name="_Hlk118559843"/>
            <w:r>
              <w:rPr>
                <w:b/>
                <w:bCs/>
                <w:sz w:val="24"/>
                <w:szCs w:val="24"/>
              </w:rPr>
              <w:t>Parameters</w:t>
            </w:r>
          </w:p>
        </w:tc>
        <w:tc>
          <w:tcPr>
            <w:tcW w:w="1925" w:type="dxa"/>
            <w:vAlign w:val="center"/>
          </w:tcPr>
          <w:p w14:paraId="22D52D09" w14:textId="28380FFC" w:rsidR="004241FD" w:rsidRPr="002D6C3B" w:rsidRDefault="004241FD" w:rsidP="00423384">
            <w:pPr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2D6C3B">
              <w:rPr>
                <w:b/>
                <w:bCs/>
                <w:sz w:val="24"/>
                <w:szCs w:val="24"/>
                <w:lang w:val="ru-RU"/>
              </w:rPr>
              <w:t>Pareto</w:t>
            </w:r>
            <w:proofErr w:type="spellEnd"/>
            <w:r w:rsidRPr="002D6C3B">
              <w:rPr>
                <w:b/>
                <w:bCs/>
                <w:sz w:val="24"/>
                <w:szCs w:val="24"/>
                <w:lang w:val="ru-RU"/>
              </w:rPr>
              <w:t>/NBD</w:t>
            </w:r>
          </w:p>
        </w:tc>
        <w:tc>
          <w:tcPr>
            <w:tcW w:w="1926" w:type="dxa"/>
            <w:vAlign w:val="center"/>
          </w:tcPr>
          <w:p w14:paraId="672D69B7" w14:textId="5D0DA22C" w:rsidR="004241FD" w:rsidRPr="002D6C3B" w:rsidRDefault="004241FD" w:rsidP="00423384">
            <w:pPr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6C3B">
              <w:rPr>
                <w:b/>
                <w:bCs/>
                <w:sz w:val="24"/>
                <w:szCs w:val="24"/>
                <w:lang w:val="ru-RU"/>
              </w:rPr>
              <w:t>BG/NBD</w:t>
            </w:r>
          </w:p>
        </w:tc>
        <w:tc>
          <w:tcPr>
            <w:tcW w:w="1926" w:type="dxa"/>
            <w:vAlign w:val="center"/>
          </w:tcPr>
          <w:p w14:paraId="543D7B34" w14:textId="083E25E9" w:rsidR="004241FD" w:rsidRPr="002D6C3B" w:rsidRDefault="004241FD" w:rsidP="00423384">
            <w:pPr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6C3B">
              <w:rPr>
                <w:b/>
                <w:bCs/>
                <w:sz w:val="24"/>
                <w:szCs w:val="24"/>
                <w:lang w:val="ru-RU"/>
              </w:rPr>
              <w:t>MBG/NBD</w:t>
            </w:r>
          </w:p>
        </w:tc>
        <w:tc>
          <w:tcPr>
            <w:tcW w:w="1926" w:type="dxa"/>
            <w:vAlign w:val="center"/>
          </w:tcPr>
          <w:p w14:paraId="55AC5F0B" w14:textId="69BC98DC" w:rsidR="004241FD" w:rsidRPr="002D6C3B" w:rsidRDefault="004241FD" w:rsidP="00423384">
            <w:pPr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2D6C3B">
              <w:rPr>
                <w:b/>
                <w:bCs/>
                <w:sz w:val="24"/>
                <w:szCs w:val="24"/>
                <w:lang w:val="ru-RU"/>
              </w:rPr>
              <w:t>Pareto</w:t>
            </w:r>
            <w:proofErr w:type="spellEnd"/>
            <w:r w:rsidRPr="002D6C3B">
              <w:rPr>
                <w:b/>
                <w:bCs/>
                <w:sz w:val="24"/>
                <w:szCs w:val="24"/>
                <w:lang w:val="ru-RU"/>
              </w:rPr>
              <w:t>/GGG</w:t>
            </w:r>
          </w:p>
        </w:tc>
      </w:tr>
      <w:bookmarkEnd w:id="3"/>
      <w:tr w:rsidR="001F71E0" w:rsidRPr="002D6C3B" w14:paraId="28F51057" w14:textId="77777777" w:rsidTr="004511F3">
        <w:tc>
          <w:tcPr>
            <w:tcW w:w="1925" w:type="dxa"/>
            <w:vAlign w:val="center"/>
          </w:tcPr>
          <w:p w14:paraId="7F00CF2F" w14:textId="4787EF11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</w:rPr>
            </w:pPr>
            <w:r w:rsidRPr="002D6C3B">
              <w:rPr>
                <w:sz w:val="24"/>
                <w:szCs w:val="24"/>
              </w:rPr>
              <w:t>r</w:t>
            </w:r>
          </w:p>
        </w:tc>
        <w:tc>
          <w:tcPr>
            <w:tcW w:w="1925" w:type="dxa"/>
            <w:vAlign w:val="center"/>
          </w:tcPr>
          <w:p w14:paraId="5D1944DE" w14:textId="5DDFA132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4408</w:t>
            </w:r>
          </w:p>
        </w:tc>
        <w:tc>
          <w:tcPr>
            <w:tcW w:w="1926" w:type="dxa"/>
            <w:vAlign w:val="center"/>
          </w:tcPr>
          <w:p w14:paraId="2D73F029" w14:textId="6626BFAF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2685</w:t>
            </w:r>
          </w:p>
        </w:tc>
        <w:tc>
          <w:tcPr>
            <w:tcW w:w="1926" w:type="dxa"/>
            <w:vAlign w:val="center"/>
          </w:tcPr>
          <w:p w14:paraId="53D123DE" w14:textId="1AED945D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4456</w:t>
            </w:r>
          </w:p>
        </w:tc>
        <w:tc>
          <w:tcPr>
            <w:tcW w:w="1926" w:type="dxa"/>
            <w:vAlign w:val="center"/>
          </w:tcPr>
          <w:p w14:paraId="1959E6B9" w14:textId="62721C97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B7268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CB7268">
              <w:rPr>
                <w:sz w:val="24"/>
                <w:szCs w:val="24"/>
                <w:lang w:val="ru-RU"/>
              </w:rPr>
              <w:t>6205</w:t>
            </w:r>
          </w:p>
        </w:tc>
      </w:tr>
      <w:tr w:rsidR="001F71E0" w:rsidRPr="002D6C3B" w14:paraId="5AC59FF9" w14:textId="77777777" w:rsidTr="004511F3">
        <w:tc>
          <w:tcPr>
            <w:tcW w:w="1925" w:type="dxa"/>
            <w:vAlign w:val="center"/>
          </w:tcPr>
          <w:p w14:paraId="5C8097DF" w14:textId="0F199E94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α</w:t>
            </w:r>
          </w:p>
        </w:tc>
        <w:tc>
          <w:tcPr>
            <w:tcW w:w="1925" w:type="dxa"/>
            <w:vAlign w:val="center"/>
          </w:tcPr>
          <w:p w14:paraId="4C4F1DAD" w14:textId="2DC05A6B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63</w:t>
            </w:r>
            <w:r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0917</w:t>
            </w:r>
          </w:p>
        </w:tc>
        <w:tc>
          <w:tcPr>
            <w:tcW w:w="1926" w:type="dxa"/>
            <w:vAlign w:val="center"/>
          </w:tcPr>
          <w:p w14:paraId="1232639F" w14:textId="4FED7B58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39</w:t>
            </w:r>
            <w:r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6832</w:t>
            </w:r>
          </w:p>
        </w:tc>
        <w:tc>
          <w:tcPr>
            <w:tcW w:w="1926" w:type="dxa"/>
            <w:vAlign w:val="center"/>
          </w:tcPr>
          <w:p w14:paraId="32248236" w14:textId="2C60E1AE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47</w:t>
            </w:r>
            <w:r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2182</w:t>
            </w:r>
          </w:p>
        </w:tc>
        <w:tc>
          <w:tcPr>
            <w:tcW w:w="1926" w:type="dxa"/>
            <w:vAlign w:val="center"/>
          </w:tcPr>
          <w:p w14:paraId="3DA414FA" w14:textId="7CBC8452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B7268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CB7268">
              <w:rPr>
                <w:sz w:val="24"/>
                <w:szCs w:val="24"/>
                <w:lang w:val="ru-RU"/>
              </w:rPr>
              <w:t>1278</w:t>
            </w:r>
          </w:p>
        </w:tc>
      </w:tr>
      <w:tr w:rsidR="001F71E0" w:rsidRPr="002D6C3B" w14:paraId="12F23413" w14:textId="77777777" w:rsidTr="004511F3">
        <w:tc>
          <w:tcPr>
            <w:tcW w:w="1925" w:type="dxa"/>
            <w:vAlign w:val="center"/>
          </w:tcPr>
          <w:p w14:paraId="6A96F589" w14:textId="49303B1C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s</w:t>
            </w:r>
          </w:p>
        </w:tc>
        <w:tc>
          <w:tcPr>
            <w:tcW w:w="1925" w:type="dxa"/>
            <w:vAlign w:val="center"/>
          </w:tcPr>
          <w:p w14:paraId="3C56800E" w14:textId="4F3CB92C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1826</w:t>
            </w:r>
          </w:p>
        </w:tc>
        <w:tc>
          <w:tcPr>
            <w:tcW w:w="1926" w:type="dxa"/>
            <w:vAlign w:val="center"/>
          </w:tcPr>
          <w:p w14:paraId="5D7B7984" w14:textId="77777777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  <w:vAlign w:val="center"/>
          </w:tcPr>
          <w:p w14:paraId="64F1B463" w14:textId="77777777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  <w:vAlign w:val="center"/>
          </w:tcPr>
          <w:p w14:paraId="27A22856" w14:textId="6841876E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B7268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CB7268">
              <w:rPr>
                <w:sz w:val="24"/>
                <w:szCs w:val="24"/>
                <w:lang w:val="ru-RU"/>
              </w:rPr>
              <w:t>5784</w:t>
            </w:r>
          </w:p>
        </w:tc>
      </w:tr>
      <w:tr w:rsidR="001F71E0" w:rsidRPr="002D6C3B" w14:paraId="60BDD461" w14:textId="77777777" w:rsidTr="004511F3">
        <w:tc>
          <w:tcPr>
            <w:tcW w:w="1925" w:type="dxa"/>
            <w:vAlign w:val="center"/>
          </w:tcPr>
          <w:p w14:paraId="70C485A8" w14:textId="1281D097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β</w:t>
            </w:r>
          </w:p>
        </w:tc>
        <w:tc>
          <w:tcPr>
            <w:tcW w:w="1925" w:type="dxa"/>
            <w:vAlign w:val="center"/>
          </w:tcPr>
          <w:p w14:paraId="3E48662F" w14:textId="4A29C99C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1826</w:t>
            </w:r>
          </w:p>
        </w:tc>
        <w:tc>
          <w:tcPr>
            <w:tcW w:w="1926" w:type="dxa"/>
            <w:vAlign w:val="center"/>
          </w:tcPr>
          <w:p w14:paraId="7A84DF21" w14:textId="77777777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  <w:vAlign w:val="center"/>
          </w:tcPr>
          <w:p w14:paraId="5670EED2" w14:textId="77777777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  <w:vAlign w:val="center"/>
          </w:tcPr>
          <w:p w14:paraId="4586D59D" w14:textId="654F9CC8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B7268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CB7268">
              <w:rPr>
                <w:sz w:val="24"/>
                <w:szCs w:val="24"/>
                <w:lang w:val="ru-RU"/>
              </w:rPr>
              <w:t>3313</w:t>
            </w:r>
          </w:p>
        </w:tc>
      </w:tr>
      <w:tr w:rsidR="001F71E0" w:rsidRPr="002D6C3B" w14:paraId="464C1D03" w14:textId="77777777" w:rsidTr="004511F3">
        <w:tc>
          <w:tcPr>
            <w:tcW w:w="1925" w:type="dxa"/>
            <w:vAlign w:val="center"/>
          </w:tcPr>
          <w:p w14:paraId="6D89801A" w14:textId="429031D0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</w:rPr>
            </w:pPr>
            <w:r w:rsidRPr="002D6C3B">
              <w:rPr>
                <w:sz w:val="24"/>
                <w:szCs w:val="24"/>
              </w:rPr>
              <w:t>a</w:t>
            </w:r>
          </w:p>
        </w:tc>
        <w:tc>
          <w:tcPr>
            <w:tcW w:w="1925" w:type="dxa"/>
            <w:vAlign w:val="center"/>
          </w:tcPr>
          <w:p w14:paraId="4F0450BE" w14:textId="77777777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  <w:vAlign w:val="center"/>
          </w:tcPr>
          <w:p w14:paraId="739A670E" w14:textId="0F47891B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3686</w:t>
            </w:r>
          </w:p>
        </w:tc>
        <w:tc>
          <w:tcPr>
            <w:tcW w:w="1926" w:type="dxa"/>
            <w:vAlign w:val="center"/>
          </w:tcPr>
          <w:p w14:paraId="057082B8" w14:textId="75FE71D9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4946</w:t>
            </w:r>
          </w:p>
        </w:tc>
        <w:tc>
          <w:tcPr>
            <w:tcW w:w="1926" w:type="dxa"/>
            <w:vAlign w:val="center"/>
          </w:tcPr>
          <w:p w14:paraId="48537F6C" w14:textId="77777777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F71E0" w:rsidRPr="002D6C3B" w14:paraId="41ED50F2" w14:textId="77777777" w:rsidTr="004511F3">
        <w:tc>
          <w:tcPr>
            <w:tcW w:w="1925" w:type="dxa"/>
            <w:vAlign w:val="center"/>
          </w:tcPr>
          <w:p w14:paraId="7101E091" w14:textId="474D2155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</w:rPr>
            </w:pPr>
            <w:r w:rsidRPr="002D6C3B">
              <w:rPr>
                <w:sz w:val="24"/>
                <w:szCs w:val="24"/>
              </w:rPr>
              <w:t>b</w:t>
            </w:r>
          </w:p>
        </w:tc>
        <w:tc>
          <w:tcPr>
            <w:tcW w:w="1925" w:type="dxa"/>
            <w:vAlign w:val="center"/>
          </w:tcPr>
          <w:p w14:paraId="70110AC4" w14:textId="77777777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  <w:vAlign w:val="center"/>
          </w:tcPr>
          <w:p w14:paraId="58D6F737" w14:textId="0866E228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6272</w:t>
            </w:r>
          </w:p>
        </w:tc>
        <w:tc>
          <w:tcPr>
            <w:tcW w:w="1926" w:type="dxa"/>
            <w:vAlign w:val="center"/>
          </w:tcPr>
          <w:p w14:paraId="49D6D61E" w14:textId="640D4D13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2589</w:t>
            </w:r>
          </w:p>
        </w:tc>
        <w:tc>
          <w:tcPr>
            <w:tcW w:w="1926" w:type="dxa"/>
            <w:vAlign w:val="center"/>
          </w:tcPr>
          <w:p w14:paraId="51E10E45" w14:textId="77777777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F71E0" w:rsidRPr="002D6C3B" w14:paraId="0AB5A338" w14:textId="77777777" w:rsidTr="004511F3">
        <w:tc>
          <w:tcPr>
            <w:tcW w:w="1925" w:type="dxa"/>
            <w:vAlign w:val="center"/>
          </w:tcPr>
          <w:p w14:paraId="33301292" w14:textId="7504A58C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925" w:type="dxa"/>
            <w:vAlign w:val="center"/>
          </w:tcPr>
          <w:p w14:paraId="56453C1C" w14:textId="77777777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  <w:vAlign w:val="center"/>
          </w:tcPr>
          <w:p w14:paraId="391FEC8B" w14:textId="77777777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  <w:vAlign w:val="center"/>
          </w:tcPr>
          <w:p w14:paraId="18C25954" w14:textId="77777777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  <w:vAlign w:val="center"/>
          </w:tcPr>
          <w:p w14:paraId="72E9B445" w14:textId="1CE5EC66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B7268">
              <w:rPr>
                <w:sz w:val="24"/>
                <w:szCs w:val="24"/>
                <w:lang w:val="ru-RU"/>
              </w:rPr>
              <w:t>19</w:t>
            </w:r>
            <w:r>
              <w:rPr>
                <w:sz w:val="24"/>
                <w:szCs w:val="24"/>
              </w:rPr>
              <w:t>.</w:t>
            </w:r>
            <w:r w:rsidRPr="00CB7268">
              <w:rPr>
                <w:sz w:val="24"/>
                <w:szCs w:val="24"/>
                <w:lang w:val="ru-RU"/>
              </w:rPr>
              <w:t>2993</w:t>
            </w:r>
          </w:p>
        </w:tc>
      </w:tr>
      <w:tr w:rsidR="001F71E0" w:rsidRPr="002D6C3B" w14:paraId="1594545B" w14:textId="77777777" w:rsidTr="004511F3">
        <w:tc>
          <w:tcPr>
            <w:tcW w:w="1925" w:type="dxa"/>
            <w:vAlign w:val="center"/>
          </w:tcPr>
          <w:p w14:paraId="34D8CFE8" w14:textId="4E4FECBC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</w:rPr>
            </w:pPr>
            <w:r w:rsidRPr="00CB7268">
              <w:rPr>
                <w:sz w:val="24"/>
                <w:szCs w:val="24"/>
              </w:rPr>
              <w:t>γ</w:t>
            </w:r>
          </w:p>
        </w:tc>
        <w:tc>
          <w:tcPr>
            <w:tcW w:w="1925" w:type="dxa"/>
            <w:vAlign w:val="center"/>
          </w:tcPr>
          <w:p w14:paraId="7CACBA44" w14:textId="77777777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  <w:vAlign w:val="center"/>
          </w:tcPr>
          <w:p w14:paraId="0972AB62" w14:textId="77777777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  <w:vAlign w:val="center"/>
          </w:tcPr>
          <w:p w14:paraId="0F2578A4" w14:textId="77777777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  <w:vAlign w:val="center"/>
          </w:tcPr>
          <w:p w14:paraId="2B91DB3C" w14:textId="1FDD866D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B7268"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CB7268">
              <w:rPr>
                <w:sz w:val="24"/>
                <w:szCs w:val="24"/>
                <w:lang w:val="ru-RU"/>
              </w:rPr>
              <w:t>8286</w:t>
            </w:r>
          </w:p>
        </w:tc>
      </w:tr>
      <w:tr w:rsidR="001F71E0" w:rsidRPr="002D6C3B" w14:paraId="527E4781" w14:textId="77777777" w:rsidTr="004511F3">
        <w:tc>
          <w:tcPr>
            <w:tcW w:w="1925" w:type="dxa"/>
            <w:vAlign w:val="center"/>
          </w:tcPr>
          <w:p w14:paraId="2FB353E0" w14:textId="5CC35324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</w:rPr>
            </w:pPr>
            <w:r w:rsidRPr="002D6C3B">
              <w:rPr>
                <w:sz w:val="24"/>
                <w:szCs w:val="24"/>
              </w:rPr>
              <w:t>SMAPE, %</w:t>
            </w:r>
          </w:p>
        </w:tc>
        <w:tc>
          <w:tcPr>
            <w:tcW w:w="1925" w:type="dxa"/>
            <w:vAlign w:val="center"/>
          </w:tcPr>
          <w:p w14:paraId="0DA57F1C" w14:textId="4F805D8E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926" w:type="dxa"/>
            <w:vAlign w:val="center"/>
          </w:tcPr>
          <w:p w14:paraId="210A1AA2" w14:textId="1CBE138C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1926" w:type="dxa"/>
            <w:vAlign w:val="center"/>
          </w:tcPr>
          <w:p w14:paraId="1BAC7AF1" w14:textId="081799CC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926" w:type="dxa"/>
            <w:vAlign w:val="center"/>
          </w:tcPr>
          <w:p w14:paraId="42F52AF8" w14:textId="54CBF032" w:rsidR="001F71E0" w:rsidRPr="002D6C3B" w:rsidRDefault="001F71E0" w:rsidP="001F71E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18</w:t>
            </w:r>
          </w:p>
        </w:tc>
      </w:tr>
    </w:tbl>
    <w:p w14:paraId="46691062" w14:textId="15F0DF1E" w:rsidR="000443C6" w:rsidRDefault="000443C6" w:rsidP="0056454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E</w:t>
      </w:r>
      <w:r w:rsidRPr="000443C6">
        <w:rPr>
          <w:sz w:val="24"/>
          <w:szCs w:val="24"/>
        </w:rPr>
        <w:t xml:space="preserve">stimates </w:t>
      </w:r>
      <w:r w:rsidR="00A9177C">
        <w:rPr>
          <w:sz w:val="24"/>
          <w:szCs w:val="24"/>
        </w:rPr>
        <w:t xml:space="preserve">are </w:t>
      </w:r>
      <w:r w:rsidRPr="000443C6">
        <w:rPr>
          <w:sz w:val="24"/>
          <w:szCs w:val="24"/>
        </w:rPr>
        <w:t xml:space="preserve">significant at the </w:t>
      </w:r>
      <w:r>
        <w:rPr>
          <w:sz w:val="24"/>
          <w:szCs w:val="24"/>
        </w:rPr>
        <w:t>1</w:t>
      </w:r>
      <w:r w:rsidRPr="000443C6">
        <w:rPr>
          <w:sz w:val="24"/>
          <w:szCs w:val="24"/>
        </w:rPr>
        <w:t xml:space="preserve"> percent level</w:t>
      </w:r>
      <w:r>
        <w:rPr>
          <w:sz w:val="24"/>
          <w:szCs w:val="24"/>
        </w:rPr>
        <w:t>.</w:t>
      </w:r>
    </w:p>
    <w:p w14:paraId="0BC45DC4" w14:textId="22A59C47" w:rsidR="00564545" w:rsidRPr="00564545" w:rsidRDefault="00564545" w:rsidP="00564545">
      <w:pPr>
        <w:spacing w:line="240" w:lineRule="auto"/>
        <w:ind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>Source</w:t>
      </w:r>
      <w:r w:rsidRPr="00564545">
        <w:rPr>
          <w:i/>
          <w:iCs/>
          <w:sz w:val="24"/>
          <w:szCs w:val="24"/>
        </w:rPr>
        <w:t>:</w:t>
      </w:r>
      <w:r w:rsidRPr="00564545">
        <w:rPr>
          <w:sz w:val="24"/>
          <w:szCs w:val="24"/>
        </w:rPr>
        <w:t xml:space="preserve"> </w:t>
      </w:r>
      <w:r>
        <w:rPr>
          <w:sz w:val="24"/>
          <w:szCs w:val="24"/>
        </w:rPr>
        <w:t>compiled by the author</w:t>
      </w:r>
      <w:r w:rsidRPr="00564545">
        <w:rPr>
          <w:sz w:val="24"/>
          <w:szCs w:val="24"/>
        </w:rPr>
        <w:t>.</w:t>
      </w:r>
    </w:p>
    <w:p w14:paraId="0F290ADF" w14:textId="711A1166" w:rsidR="002C504D" w:rsidRDefault="002C504D" w:rsidP="00423384">
      <w:pPr>
        <w:spacing w:line="240" w:lineRule="auto"/>
        <w:ind w:firstLine="0"/>
        <w:rPr>
          <w:rFonts w:cs="Times New Roman"/>
          <w:sz w:val="22"/>
        </w:rPr>
      </w:pPr>
    </w:p>
    <w:p w14:paraId="7CEEC1D7" w14:textId="6CD35DE8" w:rsidR="000443C6" w:rsidRDefault="007A2316" w:rsidP="007A2316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T</w:t>
      </w:r>
      <w:r w:rsidRPr="007A2316">
        <w:rPr>
          <w:rFonts w:cs="Times New Roman"/>
          <w:szCs w:val="28"/>
        </w:rPr>
        <w:t xml:space="preserve">he Pareto/GGG model </w:t>
      </w:r>
      <w:r>
        <w:rPr>
          <w:rFonts w:cs="Times New Roman"/>
          <w:szCs w:val="28"/>
        </w:rPr>
        <w:t>showed t</w:t>
      </w:r>
      <w:r w:rsidR="000443C6">
        <w:rPr>
          <w:rFonts w:cs="Times New Roman"/>
          <w:szCs w:val="28"/>
        </w:rPr>
        <w:t xml:space="preserve">he </w:t>
      </w:r>
      <w:r w:rsidR="008C517C">
        <w:rPr>
          <w:rFonts w:cs="Times New Roman"/>
          <w:szCs w:val="28"/>
        </w:rPr>
        <w:t>most excellent</w:t>
      </w:r>
      <w:r w:rsidR="000443C6">
        <w:rPr>
          <w:rFonts w:cs="Times New Roman"/>
          <w:szCs w:val="28"/>
        </w:rPr>
        <w:t xml:space="preserve"> SMAPE and </w:t>
      </w:r>
      <w:r w:rsidRPr="007A2316">
        <w:rPr>
          <w:rFonts w:cs="Times New Roman"/>
          <w:szCs w:val="28"/>
        </w:rPr>
        <w:t>coefficient of determination</w:t>
      </w:r>
      <w:r>
        <w:rPr>
          <w:rFonts w:cs="Times New Roman"/>
          <w:szCs w:val="28"/>
        </w:rPr>
        <w:t xml:space="preserve"> (0.9</w:t>
      </w:r>
      <w:r w:rsidR="001F71E0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). </w:t>
      </w:r>
      <w:r w:rsidR="000443C6" w:rsidRPr="000443C6">
        <w:rPr>
          <w:rFonts w:cs="Times New Roman"/>
          <w:szCs w:val="28"/>
        </w:rPr>
        <w:t xml:space="preserve">Figure 1 compares actual and predicted </w:t>
      </w:r>
      <w:r w:rsidR="00494E25">
        <w:rPr>
          <w:rFonts w:cs="Times New Roman"/>
          <w:szCs w:val="28"/>
        </w:rPr>
        <w:t xml:space="preserve">by </w:t>
      </w:r>
      <w:r w:rsidR="000443C6" w:rsidRPr="000443C6">
        <w:rPr>
          <w:rFonts w:cs="Times New Roman"/>
          <w:szCs w:val="28"/>
        </w:rPr>
        <w:t>Pareto/GGG frequency of repeat transactions.</w:t>
      </w:r>
    </w:p>
    <w:p w14:paraId="1C2CE15B" w14:textId="77777777" w:rsidR="000443C6" w:rsidRPr="000443C6" w:rsidRDefault="000443C6" w:rsidP="00EE13B4">
      <w:pPr>
        <w:spacing w:line="240" w:lineRule="auto"/>
        <w:rPr>
          <w:rFonts w:cs="Times New Roman"/>
          <w:szCs w:val="28"/>
        </w:rPr>
      </w:pPr>
    </w:p>
    <w:p w14:paraId="5683F171" w14:textId="5433C306" w:rsidR="00A93C03" w:rsidRPr="00796A9B" w:rsidRDefault="00683882" w:rsidP="00423384">
      <w:pPr>
        <w:spacing w:line="240" w:lineRule="auto"/>
        <w:ind w:firstLine="0"/>
        <w:rPr>
          <w:rFonts w:cs="Times New Roman"/>
          <w:szCs w:val="28"/>
        </w:rPr>
      </w:pPr>
      <w:r w:rsidRPr="00683882">
        <w:rPr>
          <w:rFonts w:cs="Times New Roman"/>
          <w:noProof/>
          <w:szCs w:val="28"/>
          <w:lang w:val="ru-RU"/>
        </w:rPr>
        <w:lastRenderedPageBreak/>
        <w:drawing>
          <wp:anchor distT="0" distB="0" distL="114300" distR="114300" simplePos="0" relativeHeight="251658240" behindDoc="0" locked="0" layoutInCell="1" allowOverlap="1" wp14:anchorId="60CD8D0D" wp14:editId="0DF94F02">
            <wp:simplePos x="0" y="0"/>
            <wp:positionH relativeFrom="margin">
              <wp:posOffset>1012190</wp:posOffset>
            </wp:positionH>
            <wp:positionV relativeFrom="paragraph">
              <wp:posOffset>0</wp:posOffset>
            </wp:positionV>
            <wp:extent cx="3590925" cy="225234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792E5" w14:textId="1AFE517F" w:rsidR="00251193" w:rsidRPr="00494E25" w:rsidRDefault="007A2316" w:rsidP="00423384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Figure</w:t>
      </w:r>
      <w:r w:rsidRPr="00796A9B">
        <w:rPr>
          <w:rFonts w:cs="Times New Roman"/>
          <w:sz w:val="24"/>
          <w:szCs w:val="24"/>
        </w:rPr>
        <w:t xml:space="preserve"> 1.</w:t>
      </w:r>
      <w:r w:rsidR="006D015E" w:rsidRPr="00796A9B">
        <w:rPr>
          <w:rFonts w:cs="Times New Roman"/>
          <w:sz w:val="24"/>
          <w:szCs w:val="24"/>
        </w:rPr>
        <w:t xml:space="preserve"> </w:t>
      </w:r>
      <w:r w:rsidR="00494E25">
        <w:rPr>
          <w:rFonts w:cs="Times New Roman"/>
          <w:sz w:val="24"/>
          <w:szCs w:val="24"/>
        </w:rPr>
        <w:t>Frequency of Repeat Transactions</w:t>
      </w:r>
    </w:p>
    <w:p w14:paraId="41FCEEE4" w14:textId="77777777" w:rsidR="002D6C3B" w:rsidRPr="00796A9B" w:rsidRDefault="002D6C3B" w:rsidP="00423384">
      <w:pPr>
        <w:spacing w:line="240" w:lineRule="auto"/>
        <w:ind w:firstLine="0"/>
        <w:rPr>
          <w:rFonts w:cs="Times New Roman"/>
          <w:szCs w:val="28"/>
        </w:rPr>
      </w:pPr>
    </w:p>
    <w:p w14:paraId="4E65C063" w14:textId="2DC7D5C6" w:rsidR="00494E25" w:rsidRPr="002B0FF2" w:rsidRDefault="002B0FF2" w:rsidP="00EE13B4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The combination of </w:t>
      </w:r>
      <w:r w:rsidR="00494E25" w:rsidRPr="00494E25">
        <w:rPr>
          <w:rFonts w:cs="Times New Roman"/>
          <w:szCs w:val="28"/>
        </w:rPr>
        <w:t xml:space="preserve">Pareto/GGG </w:t>
      </w:r>
      <w:r w:rsidR="00494E25">
        <w:rPr>
          <w:rFonts w:cs="Times New Roman"/>
          <w:szCs w:val="28"/>
        </w:rPr>
        <w:t xml:space="preserve">and </w:t>
      </w:r>
      <w:r w:rsidR="00494E25" w:rsidRPr="00494E25">
        <w:rPr>
          <w:rFonts w:cs="Times New Roman"/>
          <w:szCs w:val="28"/>
        </w:rPr>
        <w:t>Gamma-Gamma</w:t>
      </w:r>
      <w:r w:rsidR="00494E25">
        <w:rPr>
          <w:rFonts w:cs="Times New Roman"/>
          <w:szCs w:val="28"/>
        </w:rPr>
        <w:t xml:space="preserve"> mode</w:t>
      </w:r>
      <w:r>
        <w:rPr>
          <w:rFonts w:cs="Times New Roman"/>
          <w:szCs w:val="28"/>
        </w:rPr>
        <w:t xml:space="preserve">ls </w:t>
      </w:r>
      <w:r w:rsidR="00494E25">
        <w:rPr>
          <w:rFonts w:cs="Times New Roman"/>
          <w:szCs w:val="28"/>
        </w:rPr>
        <w:t xml:space="preserve">gives a powerful tool </w:t>
      </w:r>
      <w:r>
        <w:rPr>
          <w:rFonts w:cs="Times New Roman"/>
          <w:szCs w:val="28"/>
        </w:rPr>
        <w:t xml:space="preserve">for predicting CLV throughout the entire </w:t>
      </w:r>
      <w:r w:rsidR="00A9177C">
        <w:rPr>
          <w:rFonts w:cs="Times New Roman"/>
          <w:szCs w:val="28"/>
        </w:rPr>
        <w:t>customer</w:t>
      </w:r>
      <w:r>
        <w:rPr>
          <w:rFonts w:cs="Times New Roman"/>
          <w:szCs w:val="28"/>
        </w:rPr>
        <w:t xml:space="preserve"> dataset (Table 3).</w:t>
      </w:r>
    </w:p>
    <w:p w14:paraId="0B468DDB" w14:textId="77777777" w:rsidR="00EE13B4" w:rsidRPr="00796A9B" w:rsidRDefault="00EE13B4" w:rsidP="00EE13B4">
      <w:pPr>
        <w:spacing w:line="240" w:lineRule="auto"/>
        <w:rPr>
          <w:rFonts w:cs="Times New Roman"/>
          <w:szCs w:val="28"/>
        </w:rPr>
      </w:pPr>
    </w:p>
    <w:p w14:paraId="0493C9D5" w14:textId="15190892" w:rsidR="00FF029C" w:rsidRPr="002B0FF2" w:rsidRDefault="002B0FF2" w:rsidP="00423384">
      <w:pPr>
        <w:spacing w:line="240" w:lineRule="auto"/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Table</w:t>
      </w:r>
      <w:r w:rsidR="00FF029C" w:rsidRPr="001863E2">
        <w:rPr>
          <w:rFonts w:cs="Times New Roman"/>
          <w:sz w:val="24"/>
          <w:szCs w:val="24"/>
          <w:lang w:val="ru-RU"/>
        </w:rPr>
        <w:t xml:space="preserve"> 3</w:t>
      </w:r>
      <w:r w:rsidR="001863E2">
        <w:rPr>
          <w:rFonts w:cs="Times New Roman"/>
          <w:sz w:val="24"/>
          <w:szCs w:val="24"/>
          <w:lang w:val="ru-RU"/>
        </w:rPr>
        <w:t>.</w:t>
      </w:r>
      <w:r w:rsidR="00FF029C" w:rsidRPr="001863E2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</w:rPr>
        <w:t xml:space="preserve">CLV </w:t>
      </w:r>
      <w:r w:rsidR="00D81979">
        <w:rPr>
          <w:rFonts w:cs="Times New Roman"/>
          <w:sz w:val="24"/>
          <w:szCs w:val="24"/>
        </w:rPr>
        <w:t>Estimates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49"/>
        <w:gridCol w:w="1199"/>
        <w:gridCol w:w="1305"/>
        <w:gridCol w:w="1188"/>
        <w:gridCol w:w="1393"/>
      </w:tblGrid>
      <w:tr w:rsidR="006D015E" w:rsidRPr="002D6C3B" w14:paraId="04F3CC08" w14:textId="77777777" w:rsidTr="00EE13B4">
        <w:tc>
          <w:tcPr>
            <w:tcW w:w="4549" w:type="dxa"/>
            <w:vAlign w:val="center"/>
          </w:tcPr>
          <w:p w14:paraId="74FCB7CF" w14:textId="166D4F15" w:rsidR="006D015E" w:rsidRPr="00D81979" w:rsidRDefault="00D81979" w:rsidP="00EE13B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Parameters</w:t>
            </w:r>
          </w:p>
        </w:tc>
        <w:tc>
          <w:tcPr>
            <w:tcW w:w="1199" w:type="dxa"/>
            <w:vAlign w:val="center"/>
          </w:tcPr>
          <w:p w14:paraId="1E24741E" w14:textId="5CD8621A" w:rsidR="006D015E" w:rsidRPr="00D81979" w:rsidRDefault="00D81979" w:rsidP="00EE13B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1305" w:type="dxa"/>
            <w:vAlign w:val="center"/>
          </w:tcPr>
          <w:p w14:paraId="1E09728D" w14:textId="58043BE8" w:rsidR="006D015E" w:rsidRPr="00D81979" w:rsidRDefault="00D81979" w:rsidP="00EE13B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</w:t>
            </w:r>
          </w:p>
        </w:tc>
        <w:tc>
          <w:tcPr>
            <w:tcW w:w="1188" w:type="dxa"/>
            <w:vAlign w:val="center"/>
          </w:tcPr>
          <w:p w14:paraId="6B7C3E65" w14:textId="29976200" w:rsidR="006D015E" w:rsidRPr="00D81979" w:rsidRDefault="00D81979" w:rsidP="00EE13B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Median</w:t>
            </w:r>
          </w:p>
        </w:tc>
        <w:tc>
          <w:tcPr>
            <w:tcW w:w="1393" w:type="dxa"/>
            <w:vAlign w:val="center"/>
          </w:tcPr>
          <w:p w14:paraId="1872AB38" w14:textId="325F28F0" w:rsidR="006D015E" w:rsidRPr="00D81979" w:rsidRDefault="00D81979" w:rsidP="00EE13B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Max</w:t>
            </w:r>
          </w:p>
        </w:tc>
      </w:tr>
      <w:tr w:rsidR="006D015E" w:rsidRPr="002D6C3B" w14:paraId="711617D7" w14:textId="77777777" w:rsidTr="00EE13B4">
        <w:tc>
          <w:tcPr>
            <w:tcW w:w="4549" w:type="dxa"/>
            <w:vAlign w:val="center"/>
          </w:tcPr>
          <w:p w14:paraId="17E6FA25" w14:textId="155F732F" w:rsidR="006D015E" w:rsidRPr="00D81979" w:rsidRDefault="006D015E" w:rsidP="00EE13B4">
            <w:pPr>
              <w:ind w:firstLine="0"/>
              <w:jc w:val="center"/>
              <w:rPr>
                <w:sz w:val="24"/>
                <w:szCs w:val="24"/>
              </w:rPr>
            </w:pPr>
            <w:r w:rsidRPr="002D6C3B">
              <w:rPr>
                <w:sz w:val="24"/>
                <w:szCs w:val="24"/>
              </w:rPr>
              <w:t>CLV</w:t>
            </w:r>
            <w:r w:rsidRPr="002D6C3B">
              <w:rPr>
                <w:sz w:val="24"/>
                <w:szCs w:val="24"/>
                <w:lang w:val="ru-RU"/>
              </w:rPr>
              <w:t xml:space="preserve">, </w:t>
            </w:r>
            <w:r w:rsidR="00D81979">
              <w:rPr>
                <w:sz w:val="24"/>
                <w:szCs w:val="24"/>
              </w:rPr>
              <w:t>rubles</w:t>
            </w:r>
          </w:p>
        </w:tc>
        <w:tc>
          <w:tcPr>
            <w:tcW w:w="1199" w:type="dxa"/>
            <w:vAlign w:val="center"/>
          </w:tcPr>
          <w:p w14:paraId="1317207F" w14:textId="2D09866E" w:rsidR="006D015E" w:rsidRPr="002D6C3B" w:rsidRDefault="006D015E" w:rsidP="00EE13B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32658</w:t>
            </w:r>
            <w:r w:rsidR="001F71E0"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1305" w:type="dxa"/>
            <w:vAlign w:val="center"/>
          </w:tcPr>
          <w:p w14:paraId="1C30EC65" w14:textId="2C3BB3C5" w:rsidR="006D015E" w:rsidRPr="002D6C3B" w:rsidRDefault="006D015E" w:rsidP="00EE13B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16</w:t>
            </w:r>
            <w:r w:rsidR="001F71E0"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1188" w:type="dxa"/>
            <w:vAlign w:val="center"/>
          </w:tcPr>
          <w:p w14:paraId="1BE9959E" w14:textId="1B825969" w:rsidR="006D015E" w:rsidRPr="002D6C3B" w:rsidRDefault="006D015E" w:rsidP="00EE13B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11789</w:t>
            </w:r>
            <w:r w:rsidR="001F71E0"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393" w:type="dxa"/>
            <w:vAlign w:val="center"/>
          </w:tcPr>
          <w:p w14:paraId="6B1D8757" w14:textId="68256343" w:rsidR="006D015E" w:rsidRPr="002D6C3B" w:rsidRDefault="006D015E" w:rsidP="00EE13B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6257790</w:t>
            </w:r>
            <w:r w:rsidR="001F71E0"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28</w:t>
            </w:r>
          </w:p>
        </w:tc>
      </w:tr>
      <w:tr w:rsidR="006D015E" w:rsidRPr="002D6C3B" w14:paraId="54A80DFA" w14:textId="77777777" w:rsidTr="00EE13B4">
        <w:tc>
          <w:tcPr>
            <w:tcW w:w="4549" w:type="dxa"/>
            <w:vAlign w:val="center"/>
          </w:tcPr>
          <w:p w14:paraId="779D83A5" w14:textId="11099D9A" w:rsidR="006D015E" w:rsidRPr="00D81979" w:rsidRDefault="00D81979" w:rsidP="00EE13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  <w:r w:rsidR="006D015E" w:rsidRPr="002D6C3B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days</w:t>
            </w:r>
          </w:p>
        </w:tc>
        <w:tc>
          <w:tcPr>
            <w:tcW w:w="1199" w:type="dxa"/>
            <w:vAlign w:val="center"/>
          </w:tcPr>
          <w:p w14:paraId="70D04A8C" w14:textId="15943B0A" w:rsidR="006D015E" w:rsidRPr="002D6C3B" w:rsidRDefault="006D015E" w:rsidP="00EE13B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2</w:t>
            </w:r>
            <w:r w:rsidR="001F71E0"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07</w:t>
            </w:r>
          </w:p>
        </w:tc>
        <w:tc>
          <w:tcPr>
            <w:tcW w:w="1305" w:type="dxa"/>
            <w:vAlign w:val="center"/>
          </w:tcPr>
          <w:p w14:paraId="10B60D7F" w14:textId="73074375" w:rsidR="006D015E" w:rsidRPr="002D6C3B" w:rsidRDefault="006D015E" w:rsidP="00EE13B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1</w:t>
            </w:r>
            <w:r w:rsidR="001F71E0"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188" w:type="dxa"/>
            <w:vAlign w:val="center"/>
          </w:tcPr>
          <w:p w14:paraId="3330713E" w14:textId="280CEF54" w:rsidR="006D015E" w:rsidRPr="002D6C3B" w:rsidRDefault="006D015E" w:rsidP="00EE13B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1</w:t>
            </w:r>
            <w:r w:rsidR="001F71E0"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393" w:type="dxa"/>
            <w:vAlign w:val="center"/>
          </w:tcPr>
          <w:p w14:paraId="64753987" w14:textId="08DAD403" w:rsidR="006D015E" w:rsidRPr="002D6C3B" w:rsidRDefault="006D015E" w:rsidP="00EE13B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121</w:t>
            </w:r>
            <w:r w:rsidR="001F71E0"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00</w:t>
            </w:r>
          </w:p>
        </w:tc>
      </w:tr>
      <w:tr w:rsidR="006D015E" w:rsidRPr="002D6C3B" w14:paraId="1FCD74B7" w14:textId="77777777" w:rsidTr="00EE13B4">
        <w:tc>
          <w:tcPr>
            <w:tcW w:w="4549" w:type="dxa"/>
            <w:vAlign w:val="center"/>
          </w:tcPr>
          <w:p w14:paraId="4E2D0085" w14:textId="04482F94" w:rsidR="006D015E" w:rsidRPr="00D81979" w:rsidRDefault="00D81979" w:rsidP="00EE13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Recency</w:t>
            </w:r>
            <w:r w:rsidR="006D015E" w:rsidRPr="002D6C3B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days</w:t>
            </w:r>
          </w:p>
        </w:tc>
        <w:tc>
          <w:tcPr>
            <w:tcW w:w="1199" w:type="dxa"/>
            <w:vAlign w:val="center"/>
          </w:tcPr>
          <w:p w14:paraId="2F79C83B" w14:textId="10189767" w:rsidR="006D015E" w:rsidRPr="002D6C3B" w:rsidRDefault="006D015E" w:rsidP="00EE13B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62</w:t>
            </w:r>
            <w:r w:rsidR="001F71E0"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305" w:type="dxa"/>
            <w:vAlign w:val="center"/>
          </w:tcPr>
          <w:p w14:paraId="1156A62D" w14:textId="18286A3E" w:rsidR="006D015E" w:rsidRPr="002D6C3B" w:rsidRDefault="006D015E" w:rsidP="00EE13B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1</w:t>
            </w:r>
            <w:r w:rsidR="001F71E0"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188" w:type="dxa"/>
            <w:vAlign w:val="center"/>
          </w:tcPr>
          <w:p w14:paraId="4431B4BC" w14:textId="1A118DCB" w:rsidR="006D015E" w:rsidRPr="002D6C3B" w:rsidRDefault="006D015E" w:rsidP="00EE13B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58</w:t>
            </w:r>
            <w:r w:rsidR="001F71E0"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393" w:type="dxa"/>
            <w:vAlign w:val="center"/>
          </w:tcPr>
          <w:p w14:paraId="41EF6677" w14:textId="04A121B0" w:rsidR="006D015E" w:rsidRPr="002D6C3B" w:rsidRDefault="006D015E" w:rsidP="00EE13B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152</w:t>
            </w:r>
            <w:r w:rsidR="001F71E0"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00</w:t>
            </w:r>
          </w:p>
        </w:tc>
      </w:tr>
      <w:tr w:rsidR="006D015E" w:rsidRPr="002D6C3B" w14:paraId="328EC2A2" w14:textId="77777777" w:rsidTr="00EE13B4">
        <w:tc>
          <w:tcPr>
            <w:tcW w:w="4549" w:type="dxa"/>
            <w:vAlign w:val="center"/>
          </w:tcPr>
          <w:p w14:paraId="28034C5A" w14:textId="02FB8EE4" w:rsidR="006D015E" w:rsidRPr="00D81979" w:rsidRDefault="00D81979" w:rsidP="00EE13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Customer’s age</w:t>
            </w:r>
            <w:r w:rsidR="006D015E" w:rsidRPr="002D6C3B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days</w:t>
            </w:r>
          </w:p>
        </w:tc>
        <w:tc>
          <w:tcPr>
            <w:tcW w:w="1199" w:type="dxa"/>
            <w:vAlign w:val="center"/>
          </w:tcPr>
          <w:p w14:paraId="2194D132" w14:textId="7B4E4C32" w:rsidR="006D015E" w:rsidRPr="002D6C3B" w:rsidRDefault="006D015E" w:rsidP="00EE13B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110</w:t>
            </w:r>
            <w:r w:rsidR="001F71E0"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1305" w:type="dxa"/>
            <w:vAlign w:val="center"/>
          </w:tcPr>
          <w:p w14:paraId="1BA70E19" w14:textId="4CD0F12C" w:rsidR="006D015E" w:rsidRPr="002D6C3B" w:rsidRDefault="006D015E" w:rsidP="00EE13B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1</w:t>
            </w:r>
            <w:r w:rsidR="001F71E0"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188" w:type="dxa"/>
            <w:vAlign w:val="center"/>
          </w:tcPr>
          <w:p w14:paraId="72D4960B" w14:textId="37E534D4" w:rsidR="006D015E" w:rsidRPr="002D6C3B" w:rsidRDefault="006D015E" w:rsidP="00EE13B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121</w:t>
            </w:r>
            <w:r w:rsidR="001F71E0"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393" w:type="dxa"/>
            <w:vAlign w:val="center"/>
          </w:tcPr>
          <w:p w14:paraId="608D1057" w14:textId="0125323E" w:rsidR="006D015E" w:rsidRPr="002D6C3B" w:rsidRDefault="006D015E" w:rsidP="00EE13B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153</w:t>
            </w:r>
            <w:r w:rsidR="001F71E0"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00</w:t>
            </w:r>
          </w:p>
        </w:tc>
      </w:tr>
      <w:tr w:rsidR="006D015E" w:rsidRPr="002D6C3B" w14:paraId="16BC0315" w14:textId="77777777" w:rsidTr="00EE13B4">
        <w:tc>
          <w:tcPr>
            <w:tcW w:w="4549" w:type="dxa"/>
            <w:vAlign w:val="center"/>
          </w:tcPr>
          <w:p w14:paraId="29CD96A5" w14:textId="48763CB5" w:rsidR="006D015E" w:rsidRPr="00D81979" w:rsidRDefault="00D81979" w:rsidP="00EE13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Monetary value</w:t>
            </w:r>
            <w:r w:rsidR="006D015E" w:rsidRPr="002D6C3B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rubles</w:t>
            </w:r>
          </w:p>
        </w:tc>
        <w:tc>
          <w:tcPr>
            <w:tcW w:w="1199" w:type="dxa"/>
            <w:vAlign w:val="center"/>
          </w:tcPr>
          <w:p w14:paraId="4F1910F5" w14:textId="5F0D62FC" w:rsidR="006D015E" w:rsidRPr="002D6C3B" w:rsidRDefault="006D015E" w:rsidP="00EE13B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3948</w:t>
            </w:r>
            <w:r w:rsidR="001F71E0"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305" w:type="dxa"/>
            <w:vAlign w:val="center"/>
          </w:tcPr>
          <w:p w14:paraId="61D59E1B" w14:textId="20C9B130" w:rsidR="006D015E" w:rsidRPr="002D6C3B" w:rsidRDefault="006D015E" w:rsidP="00EE13B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100</w:t>
            </w:r>
            <w:r w:rsidR="001F71E0"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188" w:type="dxa"/>
            <w:vAlign w:val="center"/>
          </w:tcPr>
          <w:p w14:paraId="5B1F6246" w14:textId="1F2477D0" w:rsidR="006D015E" w:rsidRPr="002D6C3B" w:rsidRDefault="006D015E" w:rsidP="00EE13B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3052</w:t>
            </w:r>
            <w:r w:rsidR="001F71E0"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393" w:type="dxa"/>
            <w:vAlign w:val="center"/>
          </w:tcPr>
          <w:p w14:paraId="5E0A09EB" w14:textId="28F31C82" w:rsidR="006D015E" w:rsidRPr="002D6C3B" w:rsidRDefault="006D015E" w:rsidP="00EE13B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69786</w:t>
            </w:r>
            <w:r w:rsidR="001F71E0"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00</w:t>
            </w:r>
          </w:p>
        </w:tc>
      </w:tr>
      <w:tr w:rsidR="006D015E" w:rsidRPr="002D6C3B" w14:paraId="41F78C0D" w14:textId="77777777" w:rsidTr="00EE13B4">
        <w:tc>
          <w:tcPr>
            <w:tcW w:w="4549" w:type="dxa"/>
            <w:vAlign w:val="center"/>
          </w:tcPr>
          <w:p w14:paraId="45CEECA8" w14:textId="31434159" w:rsidR="006D015E" w:rsidRPr="00D81979" w:rsidRDefault="00D81979" w:rsidP="00EE13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Predicted number of purchases in 30 days</w:t>
            </w:r>
          </w:p>
        </w:tc>
        <w:tc>
          <w:tcPr>
            <w:tcW w:w="1199" w:type="dxa"/>
            <w:vAlign w:val="center"/>
          </w:tcPr>
          <w:p w14:paraId="2E59D36E" w14:textId="479A8AA0" w:rsidR="006D015E" w:rsidRPr="002D6C3B" w:rsidRDefault="006D015E" w:rsidP="00EE13B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0</w:t>
            </w:r>
            <w:r w:rsidR="001F71E0"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305" w:type="dxa"/>
            <w:vAlign w:val="center"/>
          </w:tcPr>
          <w:p w14:paraId="71579ACC" w14:textId="35A6D032" w:rsidR="006D015E" w:rsidRPr="002D6C3B" w:rsidRDefault="006D015E" w:rsidP="00EE13B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0</w:t>
            </w:r>
            <w:r w:rsidR="001F71E0"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188" w:type="dxa"/>
            <w:vAlign w:val="center"/>
          </w:tcPr>
          <w:p w14:paraId="48DA7EC4" w14:textId="6D130B28" w:rsidR="006D015E" w:rsidRPr="002D6C3B" w:rsidRDefault="006D015E" w:rsidP="00EE13B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0</w:t>
            </w:r>
            <w:r w:rsidR="001F71E0"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393" w:type="dxa"/>
            <w:vAlign w:val="center"/>
          </w:tcPr>
          <w:p w14:paraId="013E0C62" w14:textId="26639A42" w:rsidR="006D015E" w:rsidRPr="002D6C3B" w:rsidRDefault="006D015E" w:rsidP="00EE13B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20</w:t>
            </w:r>
            <w:r w:rsidR="001F71E0"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27</w:t>
            </w:r>
          </w:p>
        </w:tc>
      </w:tr>
      <w:tr w:rsidR="006D015E" w:rsidRPr="002D6C3B" w14:paraId="234F83FD" w14:textId="77777777" w:rsidTr="00EE13B4">
        <w:tc>
          <w:tcPr>
            <w:tcW w:w="4549" w:type="dxa"/>
            <w:vAlign w:val="center"/>
          </w:tcPr>
          <w:p w14:paraId="3D4B7110" w14:textId="39C1F592" w:rsidR="006D015E" w:rsidRPr="00D81979" w:rsidRDefault="00D81979" w:rsidP="00EE13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Probability of being alive in 30 days</w:t>
            </w:r>
          </w:p>
        </w:tc>
        <w:tc>
          <w:tcPr>
            <w:tcW w:w="1199" w:type="dxa"/>
            <w:vAlign w:val="center"/>
          </w:tcPr>
          <w:p w14:paraId="123D4C5B" w14:textId="63B669DE" w:rsidR="006D015E" w:rsidRPr="002D6C3B" w:rsidRDefault="006D015E" w:rsidP="00EE13B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0</w:t>
            </w:r>
            <w:r w:rsidR="001F71E0"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1305" w:type="dxa"/>
            <w:vAlign w:val="center"/>
          </w:tcPr>
          <w:p w14:paraId="240C5F6F" w14:textId="20094479" w:rsidR="006D015E" w:rsidRPr="002D6C3B" w:rsidRDefault="006D015E" w:rsidP="00EE13B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0</w:t>
            </w:r>
            <w:r w:rsidR="001F71E0"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188" w:type="dxa"/>
            <w:vAlign w:val="center"/>
          </w:tcPr>
          <w:p w14:paraId="09B5F20E" w14:textId="4532446F" w:rsidR="006D015E" w:rsidRPr="002D6C3B" w:rsidRDefault="006D015E" w:rsidP="00EE13B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0</w:t>
            </w:r>
            <w:r w:rsidR="001F71E0"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1393" w:type="dxa"/>
            <w:vAlign w:val="center"/>
          </w:tcPr>
          <w:p w14:paraId="2413B690" w14:textId="01557303" w:rsidR="006D015E" w:rsidRPr="002D6C3B" w:rsidRDefault="006D015E" w:rsidP="00EE13B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D6C3B">
              <w:rPr>
                <w:sz w:val="24"/>
                <w:szCs w:val="24"/>
                <w:lang w:val="ru-RU"/>
              </w:rPr>
              <w:t>0</w:t>
            </w:r>
            <w:r w:rsidR="001F71E0">
              <w:rPr>
                <w:sz w:val="24"/>
                <w:szCs w:val="24"/>
                <w:lang w:val="ru-RU"/>
              </w:rPr>
              <w:t>.</w:t>
            </w:r>
            <w:r w:rsidRPr="002D6C3B">
              <w:rPr>
                <w:sz w:val="24"/>
                <w:szCs w:val="24"/>
                <w:lang w:val="ru-RU"/>
              </w:rPr>
              <w:t>97</w:t>
            </w:r>
          </w:p>
        </w:tc>
      </w:tr>
    </w:tbl>
    <w:p w14:paraId="2F98A73F" w14:textId="77777777" w:rsidR="00564545" w:rsidRPr="00564545" w:rsidRDefault="00564545" w:rsidP="00564545">
      <w:pPr>
        <w:spacing w:line="240" w:lineRule="auto"/>
        <w:ind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>Source</w:t>
      </w:r>
      <w:r w:rsidRPr="00564545">
        <w:rPr>
          <w:i/>
          <w:iCs/>
          <w:sz w:val="24"/>
          <w:szCs w:val="24"/>
        </w:rPr>
        <w:t>:</w:t>
      </w:r>
      <w:r w:rsidRPr="00564545">
        <w:rPr>
          <w:sz w:val="24"/>
          <w:szCs w:val="24"/>
        </w:rPr>
        <w:t xml:space="preserve"> </w:t>
      </w:r>
      <w:r>
        <w:rPr>
          <w:sz w:val="24"/>
          <w:szCs w:val="24"/>
        </w:rPr>
        <w:t>compiled by the author</w:t>
      </w:r>
      <w:r w:rsidRPr="00564545">
        <w:rPr>
          <w:sz w:val="24"/>
          <w:szCs w:val="24"/>
        </w:rPr>
        <w:t>.</w:t>
      </w:r>
    </w:p>
    <w:p w14:paraId="32909B36" w14:textId="77777777" w:rsidR="00564545" w:rsidRDefault="00564545" w:rsidP="004148A7">
      <w:pPr>
        <w:spacing w:line="240" w:lineRule="auto"/>
        <w:rPr>
          <w:b/>
          <w:bCs/>
        </w:rPr>
      </w:pPr>
    </w:p>
    <w:p w14:paraId="32FA5FCB" w14:textId="2594E648" w:rsidR="00D533CE" w:rsidRDefault="004E174E" w:rsidP="00D533CE">
      <w:pPr>
        <w:spacing w:line="240" w:lineRule="auto"/>
      </w:pPr>
      <w:r>
        <w:rPr>
          <w:b/>
          <w:bCs/>
        </w:rPr>
        <w:t>Conclusion and discussions</w:t>
      </w:r>
      <w:r w:rsidR="00AA2617" w:rsidRPr="00506081">
        <w:rPr>
          <w:b/>
          <w:bCs/>
        </w:rPr>
        <w:t>.</w:t>
      </w:r>
      <w:r w:rsidR="00AA2617" w:rsidRPr="00506081">
        <w:t xml:space="preserve"> </w:t>
      </w:r>
      <w:r w:rsidR="00506081" w:rsidRPr="00506081">
        <w:t xml:space="preserve">The rapid development </w:t>
      </w:r>
      <w:r w:rsidR="00506081">
        <w:t xml:space="preserve">of the </w:t>
      </w:r>
      <w:r w:rsidR="00506081" w:rsidRPr="00506081">
        <w:t xml:space="preserve">buy-till-you-die models </w:t>
      </w:r>
      <w:r w:rsidR="00506081">
        <w:t xml:space="preserve">is inconsistent </w:t>
      </w:r>
      <w:r w:rsidR="009924E1">
        <w:t>with only a</w:t>
      </w:r>
      <w:r w:rsidR="009924E1" w:rsidRPr="009924E1">
        <w:t xml:space="preserve"> </w:t>
      </w:r>
      <w:r w:rsidR="009924E1">
        <w:t xml:space="preserve">handful </w:t>
      </w:r>
      <w:r w:rsidR="00B27493">
        <w:t xml:space="preserve">number of </w:t>
      </w:r>
      <w:r w:rsidR="009924E1">
        <w:t>applications</w:t>
      </w:r>
      <w:r w:rsidR="00B27493">
        <w:t xml:space="preserve"> by researchers </w:t>
      </w:r>
      <w:r w:rsidR="009924E1">
        <w:t>who have actually implemented them.</w:t>
      </w:r>
      <w:r w:rsidR="00B27493" w:rsidRPr="00B27493">
        <w:t xml:space="preserve"> A general criticism is that </w:t>
      </w:r>
      <w:r w:rsidR="00B27493">
        <w:t xml:space="preserve">models are invariant </w:t>
      </w:r>
      <w:r w:rsidR="00506081" w:rsidRPr="00506081">
        <w:t>to external factors (</w:t>
      </w:r>
      <w:r w:rsidR="00F531C4" w:rsidRPr="00F531C4">
        <w:t>customer demographics or customer acquisition information</w:t>
      </w:r>
      <w:r w:rsidR="00506081" w:rsidRPr="00506081">
        <w:t xml:space="preserve">). The </w:t>
      </w:r>
      <w:r w:rsidR="00F531C4">
        <w:t>study</w:t>
      </w:r>
      <w:r w:rsidR="00506081" w:rsidRPr="00506081">
        <w:t xml:space="preserve"> attempts to evaluate </w:t>
      </w:r>
      <w:r w:rsidR="00B048F7">
        <w:t>parameters</w:t>
      </w:r>
      <w:r w:rsidR="00506081" w:rsidRPr="00506081">
        <w:t xml:space="preserve"> </w:t>
      </w:r>
      <w:r w:rsidR="00F531C4">
        <w:t xml:space="preserve">by including </w:t>
      </w:r>
      <w:r w:rsidR="00F531C4" w:rsidRPr="00F531C4">
        <w:t>covariates into probabilistic models</w:t>
      </w:r>
      <w:r w:rsidR="00F531C4">
        <w:t xml:space="preserve">. </w:t>
      </w:r>
      <w:r w:rsidR="00506081" w:rsidRPr="00506081">
        <w:t>The parameters of the Pareto/GGG model were evaluated</w:t>
      </w:r>
      <w:r w:rsidR="00F531C4">
        <w:t xml:space="preserve">, several </w:t>
      </w:r>
      <w:r w:rsidR="00D533CE">
        <w:t xml:space="preserve">time-invariant and time-variant </w:t>
      </w:r>
      <w:r w:rsidR="00F531C4">
        <w:t xml:space="preserve">covariates were specified such as the dummy variable </w:t>
      </w:r>
      <w:r w:rsidR="00D533CE">
        <w:t>for ‘Gender’ (</w:t>
      </w:r>
      <w:r w:rsidR="00D533CE" w:rsidRPr="00D533CE">
        <w:t>male = 0, female = 1</w:t>
      </w:r>
      <w:r w:rsidR="00D533CE">
        <w:t>) and for ‘Channel’ (</w:t>
      </w:r>
      <w:r w:rsidR="00D533CE" w:rsidRPr="00D533CE">
        <w:t>online = 0, offline = 1</w:t>
      </w:r>
      <w:r w:rsidR="00D533CE">
        <w:t xml:space="preserve">). </w:t>
      </w:r>
      <w:r w:rsidR="00B048F7">
        <w:t>The results showed that</w:t>
      </w:r>
      <w:r w:rsidR="00506081" w:rsidRPr="00506081">
        <w:t xml:space="preserve"> women </w:t>
      </w:r>
      <w:r w:rsidR="00D533CE">
        <w:t xml:space="preserve">are more likely to purchase </w:t>
      </w:r>
      <w:r w:rsidR="00B048F7">
        <w:t>at a higher rate</w:t>
      </w:r>
      <w:r w:rsidR="00F9792B">
        <w:t xml:space="preserve">; customers acquired online make more purchases and have a lower churn rate. The assumption of independence between transaction and attrition might be addressed as well. </w:t>
      </w:r>
      <w:r w:rsidR="00B048F7">
        <w:t>Pareto/GGG was extended by adding</w:t>
      </w:r>
      <w:r w:rsidR="00471D56">
        <w:t xml:space="preserve"> the correlation parameter</w:t>
      </w:r>
      <w:r w:rsidR="00B048F7">
        <w:t>, after its estimation</w:t>
      </w:r>
      <w:r w:rsidR="00EE3B6A">
        <w:t xml:space="preserve"> it turned out</w:t>
      </w:r>
      <w:r w:rsidR="00471D56">
        <w:t xml:space="preserve"> that</w:t>
      </w:r>
      <w:r w:rsidR="00EE3B6A">
        <w:t xml:space="preserve"> it</w:t>
      </w:r>
      <w:r w:rsidR="00471D56">
        <w:t xml:space="preserve"> is </w:t>
      </w:r>
      <w:r w:rsidR="007E0999">
        <w:t>in</w:t>
      </w:r>
      <w:r w:rsidR="00471D56">
        <w:t>significant.</w:t>
      </w:r>
      <w:r w:rsidR="00F9792B">
        <w:t xml:space="preserve"> </w:t>
      </w:r>
    </w:p>
    <w:p w14:paraId="1D922F16" w14:textId="05B1A22D" w:rsidR="00DB330A" w:rsidRPr="002B692C" w:rsidRDefault="00506081" w:rsidP="002B692C">
      <w:pPr>
        <w:spacing w:line="240" w:lineRule="auto"/>
      </w:pPr>
      <w:r w:rsidRPr="00506081">
        <w:t>The model</w:t>
      </w:r>
      <w:r w:rsidR="00471D56">
        <w:t>s may</w:t>
      </w:r>
      <w:r w:rsidR="00EE3B6A">
        <w:t xml:space="preserve"> be extended by specifying </w:t>
      </w:r>
      <w:r w:rsidR="00471D56">
        <w:t xml:space="preserve">additional factors of interest such as </w:t>
      </w:r>
      <w:r w:rsidR="007E0999">
        <w:t xml:space="preserve">the </w:t>
      </w:r>
      <w:r w:rsidR="00471D56">
        <w:t>customer’s age, address, the marketing mix</w:t>
      </w:r>
      <w:r w:rsidR="00EE3B6A">
        <w:t xml:space="preserve"> </w:t>
      </w:r>
      <w:r w:rsidRPr="00506081">
        <w:t xml:space="preserve">and other variables </w:t>
      </w:r>
      <w:r w:rsidR="00471D56">
        <w:t xml:space="preserve">considered </w:t>
      </w:r>
      <w:r w:rsidRPr="00506081">
        <w:t xml:space="preserve">significant </w:t>
      </w:r>
      <w:r w:rsidR="00EE3B6A">
        <w:t>under</w:t>
      </w:r>
      <w:r w:rsidR="00471D56">
        <w:t xml:space="preserve"> the research. The </w:t>
      </w:r>
      <w:r w:rsidR="002B692C">
        <w:t>generalized</w:t>
      </w:r>
      <w:r w:rsidR="00471D56">
        <w:t xml:space="preserve"> models </w:t>
      </w:r>
      <w:r w:rsidR="002B692C">
        <w:t xml:space="preserve">push the boundaries of applicability and usefulness </w:t>
      </w:r>
      <w:r w:rsidR="00683882">
        <w:t xml:space="preserve">of these </w:t>
      </w:r>
      <w:r w:rsidR="00683882" w:rsidRPr="00683882">
        <w:t>probabilistic</w:t>
      </w:r>
      <w:r w:rsidR="00683882">
        <w:t xml:space="preserve"> approaches.</w:t>
      </w:r>
    </w:p>
    <w:sectPr w:rsidR="00DB330A" w:rsidRPr="002B692C" w:rsidSect="00984674">
      <w:pgSz w:w="11906" w:h="16838" w:code="9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5A"/>
    <w:rsid w:val="00020CF7"/>
    <w:rsid w:val="00030EA1"/>
    <w:rsid w:val="00043308"/>
    <w:rsid w:val="000443C6"/>
    <w:rsid w:val="00067901"/>
    <w:rsid w:val="00072B80"/>
    <w:rsid w:val="000838F7"/>
    <w:rsid w:val="00093E27"/>
    <w:rsid w:val="000A04D6"/>
    <w:rsid w:val="000A1F22"/>
    <w:rsid w:val="000B2C6D"/>
    <w:rsid w:val="000C25A5"/>
    <w:rsid w:val="000D1B84"/>
    <w:rsid w:val="000E6D42"/>
    <w:rsid w:val="000F0948"/>
    <w:rsid w:val="000F2A90"/>
    <w:rsid w:val="001152C9"/>
    <w:rsid w:val="0012195B"/>
    <w:rsid w:val="001404B7"/>
    <w:rsid w:val="00143219"/>
    <w:rsid w:val="00145F9C"/>
    <w:rsid w:val="00146E74"/>
    <w:rsid w:val="001534FB"/>
    <w:rsid w:val="00153C44"/>
    <w:rsid w:val="00161CC6"/>
    <w:rsid w:val="00162D20"/>
    <w:rsid w:val="00181B92"/>
    <w:rsid w:val="001863E2"/>
    <w:rsid w:val="00187559"/>
    <w:rsid w:val="001A0CC3"/>
    <w:rsid w:val="001A5831"/>
    <w:rsid w:val="001B5EBC"/>
    <w:rsid w:val="001E393E"/>
    <w:rsid w:val="001E6F84"/>
    <w:rsid w:val="001F6A76"/>
    <w:rsid w:val="001F71E0"/>
    <w:rsid w:val="00205C6E"/>
    <w:rsid w:val="002160F5"/>
    <w:rsid w:val="0023352C"/>
    <w:rsid w:val="002359E1"/>
    <w:rsid w:val="002377CA"/>
    <w:rsid w:val="00242EB9"/>
    <w:rsid w:val="00251193"/>
    <w:rsid w:val="00255CCB"/>
    <w:rsid w:val="00293CEE"/>
    <w:rsid w:val="002B0FF2"/>
    <w:rsid w:val="002B692C"/>
    <w:rsid w:val="002C26B4"/>
    <w:rsid w:val="002C504D"/>
    <w:rsid w:val="002D495E"/>
    <w:rsid w:val="002D6C3B"/>
    <w:rsid w:val="002D7C79"/>
    <w:rsid w:val="002E2920"/>
    <w:rsid w:val="002E43DA"/>
    <w:rsid w:val="002F5EEB"/>
    <w:rsid w:val="00312E0B"/>
    <w:rsid w:val="003721B3"/>
    <w:rsid w:val="00382AC2"/>
    <w:rsid w:val="00385962"/>
    <w:rsid w:val="00397FBC"/>
    <w:rsid w:val="003A20DA"/>
    <w:rsid w:val="003B5F27"/>
    <w:rsid w:val="003B7684"/>
    <w:rsid w:val="003D1D5A"/>
    <w:rsid w:val="003D3CBD"/>
    <w:rsid w:val="003E74A8"/>
    <w:rsid w:val="003F0080"/>
    <w:rsid w:val="003F7015"/>
    <w:rsid w:val="003F7723"/>
    <w:rsid w:val="00400070"/>
    <w:rsid w:val="00412C6A"/>
    <w:rsid w:val="004148A7"/>
    <w:rsid w:val="00423384"/>
    <w:rsid w:val="004241FD"/>
    <w:rsid w:val="00425AB7"/>
    <w:rsid w:val="004333BA"/>
    <w:rsid w:val="004511F3"/>
    <w:rsid w:val="00455BAF"/>
    <w:rsid w:val="0046546E"/>
    <w:rsid w:val="004701B7"/>
    <w:rsid w:val="00471D56"/>
    <w:rsid w:val="004830D5"/>
    <w:rsid w:val="00487664"/>
    <w:rsid w:val="00487BA7"/>
    <w:rsid w:val="00494E25"/>
    <w:rsid w:val="004B17F1"/>
    <w:rsid w:val="004B217A"/>
    <w:rsid w:val="004B5E73"/>
    <w:rsid w:val="004D5056"/>
    <w:rsid w:val="004E174E"/>
    <w:rsid w:val="004E2CDF"/>
    <w:rsid w:val="004F0DB5"/>
    <w:rsid w:val="004F70B5"/>
    <w:rsid w:val="00506081"/>
    <w:rsid w:val="00507256"/>
    <w:rsid w:val="00507EBF"/>
    <w:rsid w:val="00513324"/>
    <w:rsid w:val="00515903"/>
    <w:rsid w:val="005402B8"/>
    <w:rsid w:val="00562873"/>
    <w:rsid w:val="00564545"/>
    <w:rsid w:val="005772F4"/>
    <w:rsid w:val="005804ED"/>
    <w:rsid w:val="005854CB"/>
    <w:rsid w:val="005954F2"/>
    <w:rsid w:val="005A6364"/>
    <w:rsid w:val="005D4E77"/>
    <w:rsid w:val="005E2385"/>
    <w:rsid w:val="005E5663"/>
    <w:rsid w:val="00602334"/>
    <w:rsid w:val="00605ABB"/>
    <w:rsid w:val="00617371"/>
    <w:rsid w:val="0061758A"/>
    <w:rsid w:val="006275DF"/>
    <w:rsid w:val="00627B5A"/>
    <w:rsid w:val="00632B6E"/>
    <w:rsid w:val="006406EA"/>
    <w:rsid w:val="00657A10"/>
    <w:rsid w:val="00672107"/>
    <w:rsid w:val="00674DB6"/>
    <w:rsid w:val="00683882"/>
    <w:rsid w:val="006A164E"/>
    <w:rsid w:val="006A4FFC"/>
    <w:rsid w:val="006A5EC3"/>
    <w:rsid w:val="006B37CB"/>
    <w:rsid w:val="006B70BD"/>
    <w:rsid w:val="006B724A"/>
    <w:rsid w:val="006D015E"/>
    <w:rsid w:val="006D177A"/>
    <w:rsid w:val="006D3E3F"/>
    <w:rsid w:val="006D6DC0"/>
    <w:rsid w:val="006E0EDA"/>
    <w:rsid w:val="006E173C"/>
    <w:rsid w:val="006E737B"/>
    <w:rsid w:val="0071268A"/>
    <w:rsid w:val="007148F7"/>
    <w:rsid w:val="00715F57"/>
    <w:rsid w:val="007218EB"/>
    <w:rsid w:val="00726C37"/>
    <w:rsid w:val="00734D54"/>
    <w:rsid w:val="007465A5"/>
    <w:rsid w:val="0076769D"/>
    <w:rsid w:val="00770095"/>
    <w:rsid w:val="00783DE5"/>
    <w:rsid w:val="007913AE"/>
    <w:rsid w:val="00791D46"/>
    <w:rsid w:val="00796A9B"/>
    <w:rsid w:val="007979A6"/>
    <w:rsid w:val="007A2316"/>
    <w:rsid w:val="007A3609"/>
    <w:rsid w:val="007A5CD3"/>
    <w:rsid w:val="007B234F"/>
    <w:rsid w:val="007C1B2D"/>
    <w:rsid w:val="007C5D3C"/>
    <w:rsid w:val="007E0999"/>
    <w:rsid w:val="00801238"/>
    <w:rsid w:val="00802526"/>
    <w:rsid w:val="00802AF0"/>
    <w:rsid w:val="0082155A"/>
    <w:rsid w:val="0083288A"/>
    <w:rsid w:val="0083436E"/>
    <w:rsid w:val="00836CCE"/>
    <w:rsid w:val="00852E8B"/>
    <w:rsid w:val="00866431"/>
    <w:rsid w:val="00881786"/>
    <w:rsid w:val="008C517C"/>
    <w:rsid w:val="008D6B5E"/>
    <w:rsid w:val="008E1A5C"/>
    <w:rsid w:val="008E792F"/>
    <w:rsid w:val="008F1AE4"/>
    <w:rsid w:val="00904E8E"/>
    <w:rsid w:val="00916B5C"/>
    <w:rsid w:val="00917390"/>
    <w:rsid w:val="00933C70"/>
    <w:rsid w:val="0095061B"/>
    <w:rsid w:val="00951DCA"/>
    <w:rsid w:val="009757DC"/>
    <w:rsid w:val="00975968"/>
    <w:rsid w:val="00981799"/>
    <w:rsid w:val="00984674"/>
    <w:rsid w:val="009924E1"/>
    <w:rsid w:val="009967C3"/>
    <w:rsid w:val="009B30AE"/>
    <w:rsid w:val="009B3478"/>
    <w:rsid w:val="009B51A3"/>
    <w:rsid w:val="009C533B"/>
    <w:rsid w:val="009C5357"/>
    <w:rsid w:val="009D080C"/>
    <w:rsid w:val="009E484B"/>
    <w:rsid w:val="009E6822"/>
    <w:rsid w:val="009E7D2F"/>
    <w:rsid w:val="009F383A"/>
    <w:rsid w:val="009F3FD7"/>
    <w:rsid w:val="009F4A28"/>
    <w:rsid w:val="00A14B48"/>
    <w:rsid w:val="00A2126C"/>
    <w:rsid w:val="00A41703"/>
    <w:rsid w:val="00A54268"/>
    <w:rsid w:val="00A66E2F"/>
    <w:rsid w:val="00A77BE2"/>
    <w:rsid w:val="00A9177C"/>
    <w:rsid w:val="00A93C03"/>
    <w:rsid w:val="00AA2617"/>
    <w:rsid w:val="00AE2313"/>
    <w:rsid w:val="00AF6C71"/>
    <w:rsid w:val="00B048F7"/>
    <w:rsid w:val="00B11641"/>
    <w:rsid w:val="00B11CBE"/>
    <w:rsid w:val="00B11FDA"/>
    <w:rsid w:val="00B21D92"/>
    <w:rsid w:val="00B27493"/>
    <w:rsid w:val="00B35ED9"/>
    <w:rsid w:val="00B36C9E"/>
    <w:rsid w:val="00B45E18"/>
    <w:rsid w:val="00B74BDB"/>
    <w:rsid w:val="00B84472"/>
    <w:rsid w:val="00B8771F"/>
    <w:rsid w:val="00B9631E"/>
    <w:rsid w:val="00BB165D"/>
    <w:rsid w:val="00BD03C4"/>
    <w:rsid w:val="00BD5C5A"/>
    <w:rsid w:val="00BE1975"/>
    <w:rsid w:val="00BE3FAA"/>
    <w:rsid w:val="00C104AF"/>
    <w:rsid w:val="00C11A94"/>
    <w:rsid w:val="00C14DCF"/>
    <w:rsid w:val="00C27F53"/>
    <w:rsid w:val="00C414EB"/>
    <w:rsid w:val="00C45270"/>
    <w:rsid w:val="00C61EEE"/>
    <w:rsid w:val="00C6456D"/>
    <w:rsid w:val="00C64DF5"/>
    <w:rsid w:val="00C75FBE"/>
    <w:rsid w:val="00C8081E"/>
    <w:rsid w:val="00C87B42"/>
    <w:rsid w:val="00C95D09"/>
    <w:rsid w:val="00CA07BE"/>
    <w:rsid w:val="00CA0900"/>
    <w:rsid w:val="00CA4EE1"/>
    <w:rsid w:val="00CA5136"/>
    <w:rsid w:val="00CB0E6A"/>
    <w:rsid w:val="00CB4029"/>
    <w:rsid w:val="00CB533E"/>
    <w:rsid w:val="00CB5F17"/>
    <w:rsid w:val="00CD4DB7"/>
    <w:rsid w:val="00CE1DCD"/>
    <w:rsid w:val="00D157F7"/>
    <w:rsid w:val="00D16B5F"/>
    <w:rsid w:val="00D23F88"/>
    <w:rsid w:val="00D3622B"/>
    <w:rsid w:val="00D4349E"/>
    <w:rsid w:val="00D533CE"/>
    <w:rsid w:val="00D72957"/>
    <w:rsid w:val="00D763B4"/>
    <w:rsid w:val="00D80895"/>
    <w:rsid w:val="00D813CB"/>
    <w:rsid w:val="00D81979"/>
    <w:rsid w:val="00D96263"/>
    <w:rsid w:val="00DA64F8"/>
    <w:rsid w:val="00DA6C86"/>
    <w:rsid w:val="00DB330A"/>
    <w:rsid w:val="00DF08BE"/>
    <w:rsid w:val="00DF146B"/>
    <w:rsid w:val="00E10E28"/>
    <w:rsid w:val="00E11EAC"/>
    <w:rsid w:val="00E12C51"/>
    <w:rsid w:val="00E13AE8"/>
    <w:rsid w:val="00E13F9C"/>
    <w:rsid w:val="00E17701"/>
    <w:rsid w:val="00E331BB"/>
    <w:rsid w:val="00E37827"/>
    <w:rsid w:val="00E4226D"/>
    <w:rsid w:val="00E46FF1"/>
    <w:rsid w:val="00E5048F"/>
    <w:rsid w:val="00E565B1"/>
    <w:rsid w:val="00E63435"/>
    <w:rsid w:val="00E76C98"/>
    <w:rsid w:val="00E77CBA"/>
    <w:rsid w:val="00E80988"/>
    <w:rsid w:val="00E90A2A"/>
    <w:rsid w:val="00EB22F3"/>
    <w:rsid w:val="00EB4979"/>
    <w:rsid w:val="00EE13B4"/>
    <w:rsid w:val="00EE3B6A"/>
    <w:rsid w:val="00EE48D8"/>
    <w:rsid w:val="00F00887"/>
    <w:rsid w:val="00F062C6"/>
    <w:rsid w:val="00F230A2"/>
    <w:rsid w:val="00F24DBD"/>
    <w:rsid w:val="00F4026C"/>
    <w:rsid w:val="00F416FC"/>
    <w:rsid w:val="00F4406E"/>
    <w:rsid w:val="00F50AAF"/>
    <w:rsid w:val="00F531C4"/>
    <w:rsid w:val="00F54D7E"/>
    <w:rsid w:val="00F57509"/>
    <w:rsid w:val="00F75E33"/>
    <w:rsid w:val="00F86755"/>
    <w:rsid w:val="00F92B73"/>
    <w:rsid w:val="00F94409"/>
    <w:rsid w:val="00F9792B"/>
    <w:rsid w:val="00FB778D"/>
    <w:rsid w:val="00FC3FFD"/>
    <w:rsid w:val="00FC75D8"/>
    <w:rsid w:val="00FD7F41"/>
    <w:rsid w:val="00FE11AF"/>
    <w:rsid w:val="00FE41DF"/>
    <w:rsid w:val="00FE5CBB"/>
    <w:rsid w:val="00FF029C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AADD"/>
  <w15:chartTrackingRefBased/>
  <w15:docId w15:val="{40700950-EFB6-4B09-A29D-42AC784C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545"/>
  </w:style>
  <w:style w:type="paragraph" w:styleId="Heading1">
    <w:name w:val="heading 1"/>
    <w:aliases w:val="Course 1"/>
    <w:basedOn w:val="Normal"/>
    <w:next w:val="Normal"/>
    <w:link w:val="Heading1Char"/>
    <w:uiPriority w:val="9"/>
    <w:qFormat/>
    <w:rsid w:val="0098179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Course 2"/>
    <w:basedOn w:val="Normal"/>
    <w:next w:val="Normal"/>
    <w:link w:val="Heading2Char"/>
    <w:uiPriority w:val="9"/>
    <w:unhideWhenUsed/>
    <w:qFormat/>
    <w:rsid w:val="00981799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Course 3"/>
    <w:basedOn w:val="Normal"/>
    <w:next w:val="Normal"/>
    <w:link w:val="Heading3Char"/>
    <w:uiPriority w:val="9"/>
    <w:unhideWhenUsed/>
    <w:qFormat/>
    <w:rsid w:val="00F416FC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urse 1 Char"/>
    <w:basedOn w:val="DefaultParagraphFont"/>
    <w:link w:val="Heading1"/>
    <w:uiPriority w:val="9"/>
    <w:rsid w:val="00981799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aliases w:val="Course 2 Char"/>
    <w:basedOn w:val="DefaultParagraphFont"/>
    <w:link w:val="Heading2"/>
    <w:uiPriority w:val="9"/>
    <w:rsid w:val="00981799"/>
    <w:rPr>
      <w:rFonts w:eastAsiaTheme="majorEastAsia" w:cstheme="majorBidi"/>
      <w:b/>
      <w:szCs w:val="26"/>
    </w:rPr>
  </w:style>
  <w:style w:type="character" w:customStyle="1" w:styleId="Heading3Char">
    <w:name w:val="Heading 3 Char"/>
    <w:aliases w:val="Course 3 Char"/>
    <w:basedOn w:val="DefaultParagraphFont"/>
    <w:link w:val="Heading3"/>
    <w:uiPriority w:val="9"/>
    <w:rsid w:val="00F416FC"/>
    <w:rPr>
      <w:rFonts w:ascii="Times New Roman" w:eastAsiaTheme="majorEastAsia" w:hAnsi="Times New Roman" w:cstheme="majorBidi"/>
      <w:b/>
      <w:szCs w:val="24"/>
    </w:rPr>
  </w:style>
  <w:style w:type="table" w:styleId="TableGrid">
    <w:name w:val="Table Grid"/>
    <w:basedOn w:val="TableNormal"/>
    <w:uiPriority w:val="39"/>
    <w:rsid w:val="008F1A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18</cp:revision>
  <dcterms:created xsi:type="dcterms:W3CDTF">2022-11-05T13:03:00Z</dcterms:created>
  <dcterms:modified xsi:type="dcterms:W3CDTF">2022-11-06T06:53:00Z</dcterms:modified>
</cp:coreProperties>
</file>