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A546" w14:textId="5751DA7A" w:rsidR="00E373D0" w:rsidRPr="0058277A" w:rsidRDefault="00E373D0" w:rsidP="00E37674">
      <w:pPr>
        <w:autoSpaceDE w:val="0"/>
        <w:autoSpaceDN w:val="0"/>
        <w:adjustRightInd w:val="0"/>
        <w:jc w:val="center"/>
        <w:rPr>
          <w:rFonts w:ascii="Times New Roman" w:hAnsi="Times New Roman" w:cs="Times New Roman"/>
          <w:b/>
          <w:bCs/>
          <w:lang w:val="en-US"/>
        </w:rPr>
      </w:pPr>
      <w:r w:rsidRPr="0058277A">
        <w:rPr>
          <w:rFonts w:ascii="Times New Roman" w:hAnsi="Times New Roman" w:cs="Times New Roman"/>
          <w:b/>
          <w:bCs/>
          <w:lang w:val="en-US"/>
        </w:rPr>
        <w:t>Museum Space as a Controversial Territory:</w:t>
      </w:r>
      <w:r w:rsidR="00E37674">
        <w:rPr>
          <w:rFonts w:ascii="Times New Roman" w:hAnsi="Times New Roman" w:cs="Times New Roman"/>
          <w:b/>
          <w:bCs/>
          <w:lang w:val="en-US"/>
        </w:rPr>
        <w:br/>
      </w:r>
      <w:r w:rsidRPr="0058277A">
        <w:rPr>
          <w:rFonts w:ascii="Times New Roman" w:hAnsi="Times New Roman" w:cs="Times New Roman"/>
          <w:b/>
          <w:bCs/>
          <w:lang w:val="en-US"/>
        </w:rPr>
        <w:t>Between Inclusion and Social Work</w:t>
      </w:r>
    </w:p>
    <w:p w14:paraId="6A0062DE" w14:textId="77777777" w:rsidR="00E373D0" w:rsidRPr="0058277A" w:rsidRDefault="00E373D0" w:rsidP="00E373D0">
      <w:pPr>
        <w:autoSpaceDE w:val="0"/>
        <w:autoSpaceDN w:val="0"/>
        <w:adjustRightInd w:val="0"/>
        <w:rPr>
          <w:rFonts w:ascii="Times New Roman" w:hAnsi="Times New Roman" w:cs="Times New Roman"/>
          <w:lang w:val="en-GB"/>
        </w:rPr>
      </w:pPr>
    </w:p>
    <w:p w14:paraId="2BDDC2FB"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Museums as spaces of cultural production, according to contemporary authors are dynamically developing agents of social work and inclusion </w:t>
      </w:r>
      <w:r w:rsidRPr="0058277A">
        <w:rPr>
          <w:rFonts w:ascii="Times New Roman" w:hAnsi="Times New Roman" w:cs="Times New Roman"/>
          <w:lang w:val="en-US"/>
        </w:rPr>
        <w:fldChar w:fldCharType="begin" w:fldLock="1"/>
      </w:r>
      <w:r w:rsidRPr="0058277A">
        <w:rPr>
          <w:rFonts w:ascii="Times New Roman" w:hAnsi="Times New Roman" w:cs="Times New Roman"/>
          <w:lang w:val="en-US"/>
        </w:rPr>
        <w:instrText>ADDIN CSL_CITATION {"citationItems":[{"id":"ITEM-1","itemData":{"ISBN":"9788578110796","ISSN":"1098-6596","PMID":"25246403","author":[{"dropping-particle":"","family":"Bennett","given":"Tony","non-dropping-particle":"","parse-names":false,"suffix":""}],"id":"ITEM-1","issued":{"date-parts":[["1995"]]},"title":"THE BIRTH OF THE MUSEUM Downloaded","type":"book"},"uris":["http://www.mendeley.com/documents/?uuid=64a9a747-96f8-4044-aac9-7148685ed398"]},{"id":"ITEM-2","itemData":{"DOI":"10.1080/09647779800401704","ISSN":"09647775","author":[{"dropping-particle":"","family":"Sandell","given":"Richard","non-dropping-particle":"","parse-names":false,"suffix":""}],"container-title":"Museum Management and Curatorship","id":"ITEM-2","issue":"4","issued":{"date-parts":[["1998"]]},"page":"401-418","title":"Museums as agents of social inclusion","type":"article-journal","volume":"17"},"uris":["http://www.mendeley.com/documents/?uuid=b7df64de-928f-49ae-9883-7bdf7a611b98"]}],"mendeley":{"formattedCitation":"(Bennett, 1995; Sandell, 1998)","plainTextFormattedCitation":"(Bennett, 1995; Sandell, 1998)","previouslyFormattedCitation":"(Bennett, 1995; Sandell, 1998)"},"properties":{"noteIndex":0},"schema":"https://github.com/citation-style-language/schema/raw/master/csl-citation.json"}</w:instrText>
      </w:r>
      <w:r w:rsidRPr="0058277A">
        <w:rPr>
          <w:rFonts w:ascii="Times New Roman" w:hAnsi="Times New Roman" w:cs="Times New Roman"/>
          <w:lang w:val="en-US"/>
        </w:rPr>
        <w:fldChar w:fldCharType="separate"/>
      </w:r>
      <w:r w:rsidRPr="0058277A">
        <w:rPr>
          <w:rFonts w:ascii="Times New Roman" w:hAnsi="Times New Roman" w:cs="Times New Roman"/>
          <w:noProof/>
          <w:lang w:val="en-US"/>
        </w:rPr>
        <w:t>(Bennett, 1995; Sandell, 1998)</w:t>
      </w:r>
      <w:r w:rsidRPr="0058277A">
        <w:rPr>
          <w:rFonts w:ascii="Times New Roman" w:hAnsi="Times New Roman" w:cs="Times New Roman"/>
          <w:lang w:val="en-US"/>
        </w:rPr>
        <w:fldChar w:fldCharType="end"/>
      </w:r>
      <w:r w:rsidRPr="0058277A">
        <w:rPr>
          <w:rFonts w:ascii="Times New Roman" w:hAnsi="Times New Roman" w:cs="Times New Roman"/>
          <w:lang w:val="en-GB"/>
        </w:rPr>
        <w:t xml:space="preserve">. The problem in this topic is that modern museums still inherit a dual normative orientation: defending, from one side, the frontiers of democracy, and from the other, elitist exclusive values </w:t>
      </w:r>
      <w:r w:rsidRPr="0058277A">
        <w:rPr>
          <w:rFonts w:ascii="Times New Roman" w:hAnsi="Times New Roman" w:cs="Times New Roman"/>
          <w:lang w:val="ru-RU"/>
        </w:rPr>
        <w:fldChar w:fldCharType="begin" w:fldLock="1"/>
      </w:r>
      <w:r w:rsidRPr="0058277A">
        <w:rPr>
          <w:rFonts w:ascii="Times New Roman" w:hAnsi="Times New Roman" w:cs="Times New Roman"/>
          <w:lang w:val="en-US"/>
        </w:rPr>
        <w:instrText>ADDIN CSL_CITATION {"citationItems":[{"id":"ITEM-1","itemData":{"DOI":"10.1111/j.1468-4446.2005.00050.x","ISSN":"00071315","PMID":"15777466","abstract":"Bourdieu and Darbel's classic study of European art museum audiences, The Love of Art (1991), remains one of the most influential academic studies of the social indices of art perception. Its findings were central to Bourdieu's on-going study of culture-mediated power relations, as found in the book Distinction (Bourdieu 1984), as well as social surveys of the behaviour of museum audiences across the world. Much in Bourdieu's account of art perception, however, has begun to appear dated and in need of supplementation. This paper will be a critical but sympathetic re-reading of Bourdieu's sociology of art perception in the light of recent criticisms of his approach. Whilst fine art and its institutions continue to function as sources of social identification and differentiation, this paper argues that the relationship between perception and stratification is somewhat looser than connoted in Bourdieu's work. Beyond the shift to a less rigid taxonomy of social formations, the immense expansion of the visual arts complex has opened up possibilities for the dissemination of art knowledge beyond the cultivated bourgeois. The erosion of boundaries between the aesthetic and the economic,</w:instrText>
      </w:r>
      <w:r w:rsidRPr="0058277A">
        <w:rPr>
          <w:rFonts w:ascii="Times New Roman" w:hAnsi="Times New Roman" w:cs="Times New Roman"/>
          <w:lang w:val="ru-RU"/>
        </w:rPr>
        <w:instrText xml:space="preserve"> between art and popular culture, are the result of processes of commodification that have placed museums alongside shopping malls within the realms of consumption and entertainment. New audiences have emerged from this mix with less dichotomized - that is, either cultivated or popular - ways of seeing culture that suggest a revision of Bourdieu's overly integrated account of class and cognition. An alternative, 'postmodern', approach to art perception is entertained, where an aesthetics of distinction is replaced by a culture of distraction, but this abstracts culture from any structural grounding. Capturing the shift to an accelerated cultural present, instead, requires a warping of Bourdieu's categories to account for broader patterns of culture and economy and the accentuation of modern visual culture. © London School of Economics and Political Science 2005.","author":[{"dropping-particle":"","family":"Prior","given":"Nick","non-dropping-particle":"","parse-names":false,"suffix":""}],"container-title":"British Journal of Sociology","id":"ITEM-1","issue":"1","issued":{"date-parts":[["2005"]]},"page":"123-139","title":"A question of perception: Bourdieu, art and the postmodern","type":"article-journal","volume":"56"},"uris":["http://www.mendeley.com/documents/?uuid=6fb4f63b-3e66-4863-8f14-60a9ccc408dc"]},{"id":"ITEM-2","itemData":{"ISBN":"9788578110796","ISSN":"1098-6596","PMID":"25246403","author":[{"dropping-particle":"","family":"Bennett","given":"Tony","non-dropping-particle":"","parse-names":false,"suffix":""}],"id":"ITEM-2","issued":{"date-parts":[["1995"]]},"title":"THE BIRTH OF THE MUSEUM Downloaded","type":"book"},"uris":["http://www.mendeley.com/documents/?uuid=64a9a747-96f8-4044-aac9-7148685ed398"]},{"id":"ITEM-3","itemData":{"DOI":"10.1002/sce.21133","ISSN":"1098237X","abstract":"This paper explores how people from low-income, minority ethnic groups perceive and experience exclusion from informal science education (ISE) institutions, such as museums and science centers. Drawing on qualitative data from four focus groups, 32 interviews, four accompanied visits to ISE institutions, and field notes, this paper presents an analysis of exclusion from science learning opportunities during visits alongside participants' attitudes, expectations, and conclusions about participation in ISE. Participants came from four community groups in central London: a Sierra Leonean group (n = 21), a Latin American group (n = 18), a Somali group (n = 6), and an Asian group (n = 13). Using a theoretical frame</w:instrText>
      </w:r>
      <w:r w:rsidRPr="0058277A">
        <w:rPr>
          <w:rFonts w:ascii="Times New Roman" w:hAnsi="Times New Roman" w:cs="Times New Roman"/>
          <w:lang w:val="en-US"/>
        </w:rPr>
        <w:instrText>work based on the work of Bourdieu, the analysis suggests ISE practices were grounded in expectations about visitors' scientific knowledge, language skills, and finances in ways that were problematic for participants and excluded them from science learning opportunities. It is argued that ISE practices reinforced participants preexisting sense that museums and science centers were \"not for us.\" The paper concludes with a discussion of the findings in relation to previous research on participation in ISE and the potential for developing more inclusive informal science learning opportunities.","author":[{"dropping-particle":"","family":"Dawson","given":"Emily","non-dropping-particle":"","parse-names":false,"suffix":""}],"container-title":"Science Education","id":"ITEM-3","issue":"6","issued":{"date-parts":[["2014"]]},"page":"981-1008","title":"\"Not Designed for Us\": How Science Museums and Science Centers Socially Exclude Low-Income, Minority Ethnic Groups","type":"article-journal","volume":"98"},"uris":["http://www.mendeley.com/documents/?uuid=92997428-40e0-4ccf-9d75-bd2a3ef2f52a"]}],"mendeley":{"formattedCitation":"(Bennett, 1995; Dawson, 2014; Prior, 2005)","manualFormatting":"(Dawson, 2014; Prior, 2005)","plainTextFormattedCitation":"(Bennett, 1995; Dawson, 2014; Prior, 2005)","previouslyFormattedCitation":"(Bennett, 1995; Dawson, 2014; Prior, 2005)"},"properties":{"noteIndex":0},"schema":"https://github.com/citation-style-language/schema/raw/master/csl-citation.json"}</w:instrText>
      </w:r>
      <w:r w:rsidRPr="0058277A">
        <w:rPr>
          <w:rFonts w:ascii="Times New Roman" w:hAnsi="Times New Roman" w:cs="Times New Roman"/>
          <w:lang w:val="ru-RU"/>
        </w:rPr>
        <w:fldChar w:fldCharType="separate"/>
      </w:r>
      <w:r w:rsidRPr="0058277A">
        <w:rPr>
          <w:rFonts w:ascii="Times New Roman" w:hAnsi="Times New Roman" w:cs="Times New Roman"/>
          <w:noProof/>
          <w:lang w:val="en-US"/>
        </w:rPr>
        <w:t>(Dawson, 2014; Prior, 2005)</w:t>
      </w:r>
      <w:r w:rsidRPr="0058277A">
        <w:rPr>
          <w:rFonts w:ascii="Times New Roman" w:hAnsi="Times New Roman" w:cs="Times New Roman"/>
          <w:lang w:val="ru-RU"/>
        </w:rPr>
        <w:fldChar w:fldCharType="end"/>
      </w:r>
      <w:r w:rsidRPr="0058277A">
        <w:rPr>
          <w:rFonts w:ascii="Times New Roman" w:hAnsi="Times New Roman" w:cs="Times New Roman"/>
          <w:lang w:val="en-GB"/>
        </w:rPr>
        <w:t xml:space="preserve">. The question arises, how is it even possible to produce social work and inclusion programs in a museum </w:t>
      </w:r>
      <w:r w:rsidRPr="0058277A">
        <w:rPr>
          <w:rFonts w:ascii="Times New Roman" w:hAnsi="Times New Roman" w:cs="Times New Roman"/>
          <w:lang w:val="en-US"/>
        </w:rPr>
        <w:t>(Silverman, 2009)</w:t>
      </w:r>
      <w:r w:rsidRPr="0058277A">
        <w:rPr>
          <w:rFonts w:ascii="Times New Roman" w:hAnsi="Times New Roman" w:cs="Times New Roman"/>
          <w:lang w:val="en-GB"/>
        </w:rPr>
        <w:t>?</w:t>
      </w:r>
    </w:p>
    <w:p w14:paraId="758DD2F9" w14:textId="77777777" w:rsidR="00E373D0" w:rsidRPr="0058277A" w:rsidRDefault="00E373D0" w:rsidP="00E373D0">
      <w:pPr>
        <w:autoSpaceDE w:val="0"/>
        <w:autoSpaceDN w:val="0"/>
        <w:adjustRightInd w:val="0"/>
        <w:rPr>
          <w:rFonts w:ascii="Times New Roman" w:hAnsi="Times New Roman" w:cs="Times New Roman"/>
          <w:lang w:val="en-GB"/>
        </w:rPr>
      </w:pPr>
    </w:p>
    <w:p w14:paraId="5CE398B6"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To answer the question three </w:t>
      </w:r>
      <w:proofErr w:type="gramStart"/>
      <w:r w:rsidRPr="0058277A">
        <w:rPr>
          <w:rFonts w:ascii="Times New Roman" w:hAnsi="Times New Roman" w:cs="Times New Roman"/>
          <w:lang w:val="en-GB"/>
        </w:rPr>
        <w:t>mini-research</w:t>
      </w:r>
      <w:proofErr w:type="gramEnd"/>
      <w:r w:rsidRPr="0058277A">
        <w:rPr>
          <w:rFonts w:ascii="Times New Roman" w:hAnsi="Times New Roman" w:cs="Times New Roman"/>
          <w:lang w:val="en-GB"/>
        </w:rPr>
        <w:t xml:space="preserve"> were conducted in the museums actively developing social work and inclusion in Moscow (Russia).</w:t>
      </w:r>
    </w:p>
    <w:p w14:paraId="22665A82" w14:textId="77777777" w:rsidR="00E373D0" w:rsidRPr="0058277A" w:rsidRDefault="00E373D0" w:rsidP="00E373D0">
      <w:pPr>
        <w:autoSpaceDE w:val="0"/>
        <w:autoSpaceDN w:val="0"/>
        <w:adjustRightInd w:val="0"/>
        <w:rPr>
          <w:rFonts w:ascii="Times New Roman" w:hAnsi="Times New Roman" w:cs="Times New Roman"/>
          <w:lang w:val="en-GB"/>
        </w:rPr>
      </w:pPr>
    </w:p>
    <w:p w14:paraId="4BAADF47"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Firstly, we studied the organizational structure of the seven largest museums and galleries, relying on formal information about the structure of institutions and on 16 semi-structured interviews with heads of museums and inclusive departments. Moreover, in this study, we tried to </w:t>
      </w:r>
      <w:proofErr w:type="spellStart"/>
      <w:r w:rsidRPr="0058277A">
        <w:rPr>
          <w:rFonts w:ascii="Times New Roman" w:hAnsi="Times New Roman" w:cs="Times New Roman"/>
          <w:lang w:val="en-GB"/>
        </w:rPr>
        <w:t>analyze</w:t>
      </w:r>
      <w:proofErr w:type="spellEnd"/>
      <w:r w:rsidRPr="0058277A">
        <w:rPr>
          <w:rFonts w:ascii="Times New Roman" w:hAnsi="Times New Roman" w:cs="Times New Roman"/>
          <w:lang w:val="en-GB"/>
        </w:rPr>
        <w:t xml:space="preserve"> the legal aspect of creating social work and inclusion programs in the museum, since this element turned out to be often mentioned by informants.</w:t>
      </w:r>
    </w:p>
    <w:p w14:paraId="75448D84" w14:textId="77777777" w:rsidR="00E373D0" w:rsidRPr="0058277A" w:rsidRDefault="00E373D0" w:rsidP="00E373D0">
      <w:pPr>
        <w:autoSpaceDE w:val="0"/>
        <w:autoSpaceDN w:val="0"/>
        <w:adjustRightInd w:val="0"/>
        <w:rPr>
          <w:rFonts w:ascii="Times New Roman" w:hAnsi="Times New Roman" w:cs="Times New Roman"/>
          <w:lang w:val="en-GB"/>
        </w:rPr>
      </w:pPr>
    </w:p>
    <w:p w14:paraId="61F60247"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In the second mini-research, based on the conflict points identified during the first study, by 10 interviews and quasi-experimentations we studied the normative orientations of art-curators of exhibition activities on the one hand, and the positions of social and inclusion workers on the other hand.</w:t>
      </w:r>
    </w:p>
    <w:p w14:paraId="35C24B6A" w14:textId="77777777" w:rsidR="00E373D0" w:rsidRPr="0058277A" w:rsidRDefault="00E373D0" w:rsidP="00E373D0">
      <w:pPr>
        <w:autoSpaceDE w:val="0"/>
        <w:autoSpaceDN w:val="0"/>
        <w:adjustRightInd w:val="0"/>
        <w:rPr>
          <w:rFonts w:ascii="Times New Roman" w:hAnsi="Times New Roman" w:cs="Times New Roman"/>
          <w:lang w:val="en-GB"/>
        </w:rPr>
      </w:pPr>
    </w:p>
    <w:p w14:paraId="79D3F161"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In the third study, by comparative case-study, we investigate successful and not </w:t>
      </w:r>
      <w:proofErr w:type="gramStart"/>
      <w:r w:rsidRPr="0058277A">
        <w:rPr>
          <w:rFonts w:ascii="Times New Roman" w:hAnsi="Times New Roman" w:cs="Times New Roman"/>
          <w:lang w:val="en-GB"/>
        </w:rPr>
        <w:t>that successful cases of integration</w:t>
      </w:r>
      <w:proofErr w:type="gramEnd"/>
      <w:r w:rsidRPr="0058277A">
        <w:rPr>
          <w:rFonts w:ascii="Times New Roman" w:hAnsi="Times New Roman" w:cs="Times New Roman"/>
          <w:lang w:val="en-GB"/>
        </w:rPr>
        <w:t xml:space="preserve"> of social work and inclusion in the museum space.</w:t>
      </w:r>
    </w:p>
    <w:p w14:paraId="52E00834" w14:textId="77777777" w:rsidR="00E373D0" w:rsidRPr="0058277A" w:rsidRDefault="00E373D0" w:rsidP="00E373D0">
      <w:pPr>
        <w:autoSpaceDE w:val="0"/>
        <w:autoSpaceDN w:val="0"/>
        <w:adjustRightInd w:val="0"/>
        <w:rPr>
          <w:rFonts w:ascii="Times New Roman" w:hAnsi="Times New Roman" w:cs="Times New Roman"/>
          <w:lang w:val="en-GB"/>
        </w:rPr>
      </w:pPr>
    </w:p>
    <w:p w14:paraId="77A7975E"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According to the results of the first study, it turned out that inclusive departments and groups of social work in museums are partially excluded from exhibition production, what corresponds to existing findings </w:t>
      </w:r>
      <w:r w:rsidRPr="0058277A">
        <w:rPr>
          <w:rFonts w:ascii="Times New Roman" w:hAnsi="Times New Roman" w:cs="Times New Roman"/>
          <w:lang w:val="ru-RU"/>
        </w:rPr>
        <w:fldChar w:fldCharType="begin" w:fldLock="1"/>
      </w:r>
      <w:r w:rsidRPr="0058277A">
        <w:rPr>
          <w:rFonts w:ascii="Times New Roman" w:hAnsi="Times New Roman" w:cs="Times New Roman"/>
          <w:lang w:val="en-US"/>
        </w:rPr>
        <w:instrText>ADDIN CSL_CITATION {"citationItems":[{"id":"ITEM-1","itemData":{"DOI":"10.1177/1206331210392701","ISSN":"12063312","abstract":"This article assesses some potential approaches to museums and cities propelled by a theoretical preoccupation with modernity as a condition of speed. Here, one can extrapolate two variants in the writings and interventions of Marinetti, Simmel, Virilio, and writers in the postmodern tradition: (a) the museum is slow, it is a brake on modernity, it is modernity's sedentary other and (b) the museum is fast, it is as quick as the city, reflecting modernity's impulse toward acceleration. To finesse these approaches, the article will move toward the method of rhythmanalysis and an emphasis on time-space considerations. It is Lefebvre's teasing last snippets on the concept of rhythm, the article will argue, presaged by Benjamin's approach to the variant tempos of modernity in The Arcades Project, that point to a fuller and more advanced approach to urban-museological relations and the multiple rhythms that feature in both. © The Author(s) 2011.","author":[{"dropping-particle":"","family":"Prior","given":"Nick","non-dropping-particle":"","parse-names":false,"suffix":""}],"container-title":"Space and Culture","id":"ITEM-1","issue":"2","issued":{"date-parts":[["2011"]]},"page":"197-213","title":"Speed, rhythm, and time-space: Museums and cities","type":"article-journal","volume":"14"},"uris":["http://www.mendeley.com/documents/?uuid=d604972f-bf4b-44d3-8e4f-0f7405da9d22"]},{"id":"ITEM-2","itemData":{"DOI":"10.4324/9781315266763","abstract":"\"Science plays an important role in our societies and permeates cultural practices through the mass media, schooling and museums, as well as politics and personal decision-making. But to what extent is public or everyday science learning an educational, cultural or political resource accessible to everyone? This book presents a theoretically informed, empirically detailed analysis of how minoritised people negotiate encounters with science and everyday science learning resources in their lives.\"-- Cover; Half Title; Series Page; Title; Copyright; Dedication; Contents; List of figures; Preface and acknowledgements; Credits; 1 Introduction: exploring exclusion; Science and society; The research setting; The study: an overview; Key terms and concepts; What is everyday science learning?; Describing people; What is public? Who are the public?; Pathways through the book; 2 Understanding exclusion; Practice challenges: having a golden ticket; Empirical challenges: looking outside the box; Theoretical challenges: moving away from deficits and crusades (Mis)Understanding exclusion through deficits(Mis)Understanding inclusion as a crusade; Understanding exclusion; Structural inequalities and social justice; Social reproduction and Bourdieu; Everyday science learning and the concept of field; Capital and everyday science learning; Everyday science learning as habitus; Social justice, Bourdieu and exclusion; Summary; 3 Mapping participation; Counting bodies, bodies that count; Cultural consumption and everyday science learning; Mapping (non)participation in everyday science learning practices; Special, dominant practices Mundane, popular practicesRestricted fields of everyday science learning; Mapping participants' cultural consumption beyond science; Summary; 4 No 'taste' for science?; Attitudes towards science; Science in general; Science in particular; Being disposed against science; Three stories about science; Mr Bhakta's story: education, displacement and resilience; Ibrahim's story: interests and opportunities; Fatima's story: experiences of everyday science learning; Learning that science is not for you; Summary; 5 Feeling excluded; Structural inequalities and exclusion from everyday science learning Embodied exclusionCultural imperialism; Powerlessness; How participants imagined publics for everyday science learning; Imagined museums and embodied exclusion; Taking exclusion for granted; Expecting exclusion from science museums; Racism, exclusion and non-pa…","author":[{"dropping-particle":"","family":"Dawson","given":"Emily","non-dropping-particle":"","parse-names":false,"suffix":""}],"container-title":"Equity, Exclusion and Everyday Science Learning","id":"ITEM-2","issued":{"date-parts":[["2019"]]},"title":"Equity, Exclusion and Everyday Science Learning","type":"article-journal"},"uris":["http://www.mendeley.com/documents/?uuid=59ebf9e7-86bc-4f5b-8903-2ba8e105d986"]},{"id":"ITEM-3","itemData":{"DOI":"10.1002/sce.21133","ISSN":"1098237X","abstract":"This paper explores how people from low-income, minority ethnic groups perceive and experience exclusion from informal science education (ISE) institutions, such as museums and science centers. Drawing on qualitative data from four focus groups, 32 interviews, four accompanied visits to ISE institutions, and field notes, this paper presents an analysis of exclusion from science learning opportunities during visits alongside participants' attitudes, expectations, and conclusions about participation in ISE. Participants came from four community groups in central London: a Sierra Leonean group (n = 21), a Latin American group (n = 18), a Somali group (n = 6), and an Asian group (n = 13). Using a theoretical framework based on the work of Bourdieu, the analysis suggests ISE practices were grounded in expectations about visitors' scientific knowledge, language skills, and finances in ways that were problematic for participants and excluded them from science learning opportunities. It is argued that ISE practices reinforced participants preexisting sense that museums and science centers were \"not for us.\" The paper concludes with a discussion of the findings in relation to previous research on participation in ISE and the potential for developing more inclusive informal science learning opportunities.","author":[{"dropping-particle":"","family":"Dawson","given":"Emily","non-dropping-particle":"","parse-names":false,"suffix":""}],"container-title":"Science Education","id":"ITEM-3","issue":"6","issued":{"date-parts":[["2014"]]},"page":"981-1008","title":"\"Not Designed for Us\": How Science Museums and Science Centers Socially Exclude Low-Income, Minority Ethnic Groups","type":"article-journal","volume":"98"},"uris":["http://www.mendeley.com/documents/?uuid=92997428-40e0-4ccf-9d75-bd2a3ef2f52a"]},{"id":"ITEM-4","itemData":{"DOI":"10.1080/10286632.2020.1823976","ISSN":"14772833","abstract":"This article analyses the changing relationships between cultural organisations and their institutional environment. Cultural policy research has traditionally focused on a decline in the autonomy of cultural organisations with Pierre Bourdieu’s theories as an overarching theoretical framework. However, recent studies of public administration tell another story. It shows how relationships between cultural organisations and their institutional environment are paradoxical. Cultural organisations have experienced a growing focus on societal value, users and performance indicators, which can be viewed as a decrease in their autonomy. Simultaneously, they have been able to pursue new ways of fulfilling their purpose, an increase in autonomy. The article discusses the theoretical perspectives on this paradox, with focus on New Public Governance, and shows that the paradox of autonomy entails a change in the roles of professionals, politicians and users. Politicians still determine subsidies, but they have increasingly left policymaking to the cultural organisations.","author":[{"dropping-particle":"","family":"Kann-Rasmussen","given":"Nanna","non-dropping-particle":"","parse-names":false,"suffix":""},{"dropping-particle":"","family":"Hvenegaard Rasmussen","given":"Casper","non-dropping-particle":"","parse-names":false,"suffix":""}],"container-title":"International Journal of Cultural Policy","id":"ITEM-4","issue":"00","issued":{"date-parts":[["2020"]]},"page":"1-14","publisher":"Routledge","title":"Paradoxical autonomy in cultural organisations: an analysis of changing relations between cultural organisations and their institutional environment, with examples from libraries, archives and museums","type":"article-journal","volume":"00"},"uris":["http://www.mendeley.com/documents/?uuid=a099cf62-ff42-49e5-bf65-ce7e071fcc44"]}],"mendeley":{"formattedCitation":"(Dawson, 2014, 2019; Kann-Rasmussen &amp; Hvenegaard Rasmussen, 2020; Prior, 2011)","manualFormatting":"(Dawson, 2014, 2019; Kann-Rasmussen &amp; Rasmussen, 2020; Prior, 2011)","plainTextFormattedCitation":"(Dawson, 2014, 2019; Kann-Rasmussen &amp; Hvenegaard Rasmussen, 2020; Prior, 2011)","previouslyFormattedCitation":"(Dawson, 2014, 2019; Kann-Rasmussen &amp; Hvenegaard Rasmussen, 2020; Prior, 2011)"},"properties":{"noteIndex":0},"schema":"https://github.com/citation-style-language/schema/raw/master/csl-citation.json"}</w:instrText>
      </w:r>
      <w:r w:rsidRPr="0058277A">
        <w:rPr>
          <w:rFonts w:ascii="Times New Roman" w:hAnsi="Times New Roman" w:cs="Times New Roman"/>
          <w:lang w:val="ru-RU"/>
        </w:rPr>
        <w:fldChar w:fldCharType="separate"/>
      </w:r>
      <w:r w:rsidRPr="0058277A">
        <w:rPr>
          <w:rFonts w:ascii="Times New Roman" w:hAnsi="Times New Roman" w:cs="Times New Roman"/>
          <w:noProof/>
          <w:lang w:val="en-US"/>
        </w:rPr>
        <w:t>(Dawson, 2014, 2019; Kann-Rasmussen &amp; Rasmussen, 2020; Prior, 2011)</w:t>
      </w:r>
      <w:r w:rsidRPr="0058277A">
        <w:rPr>
          <w:rFonts w:ascii="Times New Roman" w:hAnsi="Times New Roman" w:cs="Times New Roman"/>
          <w:lang w:val="ru-RU"/>
        </w:rPr>
        <w:fldChar w:fldCharType="end"/>
      </w:r>
      <w:r w:rsidRPr="0058277A">
        <w:rPr>
          <w:rFonts w:ascii="Times New Roman" w:hAnsi="Times New Roman" w:cs="Times New Roman"/>
          <w:lang w:val="en-GB"/>
        </w:rPr>
        <w:t xml:space="preserve">. In addition, a legal aspect was found that limits the activities of inclusion and social work, and lets curators and artists defend their position more productive (Belfiore &amp; Bennett, 2008; </w:t>
      </w:r>
      <w:proofErr w:type="spellStart"/>
      <w:r w:rsidRPr="0058277A">
        <w:rPr>
          <w:rFonts w:ascii="Times New Roman" w:hAnsi="Times New Roman" w:cs="Times New Roman"/>
          <w:lang w:val="en-GB"/>
        </w:rPr>
        <w:t>Sandell</w:t>
      </w:r>
      <w:proofErr w:type="spellEnd"/>
      <w:r w:rsidRPr="0058277A">
        <w:rPr>
          <w:rFonts w:ascii="Times New Roman" w:hAnsi="Times New Roman" w:cs="Times New Roman"/>
          <w:lang w:val="en-GB"/>
        </w:rPr>
        <w:t>, 2016).</w:t>
      </w:r>
    </w:p>
    <w:p w14:paraId="7366E13D" w14:textId="77777777" w:rsidR="00E373D0" w:rsidRPr="0058277A" w:rsidRDefault="00E373D0" w:rsidP="00E373D0">
      <w:pPr>
        <w:autoSpaceDE w:val="0"/>
        <w:autoSpaceDN w:val="0"/>
        <w:adjustRightInd w:val="0"/>
        <w:rPr>
          <w:rFonts w:ascii="Times New Roman" w:hAnsi="Times New Roman" w:cs="Times New Roman"/>
          <w:lang w:val="en-GB"/>
        </w:rPr>
      </w:pPr>
    </w:p>
    <w:p w14:paraId="4CDBD72C"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The results of the second study were extremely valuable, as they showed not just the different normative orientation of curators/artists with their </w:t>
      </w:r>
      <w:proofErr w:type="spellStart"/>
      <w:r w:rsidRPr="0058277A">
        <w:rPr>
          <w:rFonts w:ascii="Times New Roman" w:hAnsi="Times New Roman" w:cs="Times New Roman"/>
          <w:i/>
          <w:iCs/>
          <w:lang w:val="en-GB"/>
        </w:rPr>
        <w:t>l’art</w:t>
      </w:r>
      <w:proofErr w:type="spellEnd"/>
      <w:r w:rsidRPr="0058277A">
        <w:rPr>
          <w:rFonts w:ascii="Times New Roman" w:hAnsi="Times New Roman" w:cs="Times New Roman"/>
          <w:i/>
          <w:iCs/>
          <w:lang w:val="en-GB"/>
        </w:rPr>
        <w:t xml:space="preserve"> pour </w:t>
      </w:r>
      <w:proofErr w:type="spellStart"/>
      <w:r w:rsidRPr="0058277A">
        <w:rPr>
          <w:rFonts w:ascii="Times New Roman" w:hAnsi="Times New Roman" w:cs="Times New Roman"/>
          <w:i/>
          <w:iCs/>
          <w:lang w:val="en-GB"/>
        </w:rPr>
        <w:t>l’art</w:t>
      </w:r>
      <w:proofErr w:type="spellEnd"/>
      <w:r w:rsidRPr="0058277A">
        <w:rPr>
          <w:rFonts w:ascii="Times New Roman" w:hAnsi="Times New Roman" w:cs="Times New Roman"/>
          <w:lang w:val="en-GB"/>
        </w:rPr>
        <w:t xml:space="preserve"> and social workers/agents of inclusion with their </w:t>
      </w:r>
      <w:proofErr w:type="spellStart"/>
      <w:r w:rsidRPr="0058277A">
        <w:rPr>
          <w:rFonts w:ascii="Times New Roman" w:hAnsi="Times New Roman" w:cs="Times New Roman"/>
          <w:i/>
          <w:iCs/>
          <w:lang w:val="en-GB"/>
        </w:rPr>
        <w:t>Sozialstaat</w:t>
      </w:r>
      <w:proofErr w:type="spellEnd"/>
      <w:r w:rsidRPr="0058277A">
        <w:rPr>
          <w:rFonts w:ascii="Times New Roman" w:hAnsi="Times New Roman" w:cs="Times New Roman"/>
          <w:lang w:val="en-GB"/>
        </w:rPr>
        <w:t xml:space="preserve"> values; but different normative orientation between social workers </w:t>
      </w:r>
      <w:r w:rsidRPr="0058277A">
        <w:rPr>
          <w:rFonts w:ascii="Times New Roman" w:hAnsi="Times New Roman" w:cs="Times New Roman"/>
          <w:lang w:val="ru-RU"/>
        </w:rPr>
        <w:fldChar w:fldCharType="begin" w:fldLock="1"/>
      </w:r>
      <w:r w:rsidRPr="0058277A">
        <w:rPr>
          <w:rFonts w:ascii="Times New Roman" w:hAnsi="Times New Roman" w:cs="Times New Roman"/>
          <w:lang w:val="en-US"/>
        </w:rPr>
        <w:instrText>ADDIN CSL_CITATION {"citationItems":[{"id":"ITEM-1","itemData":{"author":[{"dropping-particle":"","family":"Silver","given":"H.","non-dropping-particle":"","parse-names":false,"suffix":""}],"container-title":"International Labour Review","id":"ITEM-1","issue":"5-6","issued":{"date-parts":[["1994"]]},"page":"531-578","title":"Silver_H, Exclusion-paradigms.pdf","type":"article","volume":"133"},"uris":["http://www.mendeley.com/documents/?uuid=e6d2704e-7507-48dc-bc62-882aed06bd33"]}],"mendeley":{"formattedCitation":"(Silver, 1994)","plainTextFormattedCitation":"(Silver, 1994)","previouslyFormattedCitation":"(Silver, 1994)"},"properties":{"noteIndex":0},"schema":"https://github.com/citation-style-language/schema/raw/master/csl-citation.json"}</w:instrText>
      </w:r>
      <w:r w:rsidRPr="0058277A">
        <w:rPr>
          <w:rFonts w:ascii="Times New Roman" w:hAnsi="Times New Roman" w:cs="Times New Roman"/>
          <w:lang w:val="ru-RU"/>
        </w:rPr>
        <w:fldChar w:fldCharType="separate"/>
      </w:r>
      <w:r w:rsidRPr="0058277A">
        <w:rPr>
          <w:rFonts w:ascii="Times New Roman" w:hAnsi="Times New Roman" w:cs="Times New Roman"/>
          <w:noProof/>
          <w:lang w:val="en-US"/>
        </w:rPr>
        <w:t>(Silver, 1994)</w:t>
      </w:r>
      <w:r w:rsidRPr="0058277A">
        <w:rPr>
          <w:rFonts w:ascii="Times New Roman" w:hAnsi="Times New Roman" w:cs="Times New Roman"/>
          <w:lang w:val="ru-RU"/>
        </w:rPr>
        <w:fldChar w:fldCharType="end"/>
      </w:r>
      <w:r w:rsidRPr="0058277A">
        <w:rPr>
          <w:rFonts w:ascii="Times New Roman" w:hAnsi="Times New Roman" w:cs="Times New Roman"/>
          <w:lang w:val="en-GB"/>
        </w:rPr>
        <w:t>. Employees of the inclusive departments in a relativistic way defended the interests of the institution, while those who were more related to social work were guided by the “idealistic” values of the universal good.</w:t>
      </w:r>
    </w:p>
    <w:p w14:paraId="28DA901F" w14:textId="77777777" w:rsidR="00E373D0" w:rsidRPr="0058277A" w:rsidRDefault="00E373D0" w:rsidP="00E373D0">
      <w:pPr>
        <w:autoSpaceDE w:val="0"/>
        <w:autoSpaceDN w:val="0"/>
        <w:adjustRightInd w:val="0"/>
        <w:rPr>
          <w:rFonts w:ascii="Times New Roman" w:hAnsi="Times New Roman" w:cs="Times New Roman"/>
          <w:lang w:val="en-GB"/>
        </w:rPr>
      </w:pPr>
    </w:p>
    <w:p w14:paraId="63D7C6A2" w14:textId="77777777" w:rsidR="00E373D0" w:rsidRPr="0058277A" w:rsidRDefault="00E373D0" w:rsidP="00E373D0">
      <w:pPr>
        <w:autoSpaceDE w:val="0"/>
        <w:autoSpaceDN w:val="0"/>
        <w:adjustRightInd w:val="0"/>
        <w:rPr>
          <w:rFonts w:ascii="Times New Roman" w:hAnsi="Times New Roman" w:cs="Times New Roman"/>
          <w:lang w:val="en-GB"/>
        </w:rPr>
      </w:pPr>
      <w:r w:rsidRPr="0058277A">
        <w:rPr>
          <w:rFonts w:ascii="Times New Roman" w:hAnsi="Times New Roman" w:cs="Times New Roman"/>
          <w:lang w:val="en-GB"/>
        </w:rPr>
        <w:t xml:space="preserve">The results of the third study partly suggest that the “successful” integration of inclusive activities was carried out only in the case of having common dispositions with curators by social workers, what correlates to having relativistic orientations. At the same time, social workers who did not agree with norms of </w:t>
      </w:r>
      <w:proofErr w:type="spellStart"/>
      <w:r w:rsidRPr="0058277A">
        <w:rPr>
          <w:rFonts w:ascii="Times New Roman" w:hAnsi="Times New Roman" w:cs="Times New Roman"/>
          <w:i/>
          <w:iCs/>
          <w:lang w:val="en-GB"/>
        </w:rPr>
        <w:t>l’art</w:t>
      </w:r>
      <w:proofErr w:type="spellEnd"/>
      <w:r w:rsidRPr="0058277A">
        <w:rPr>
          <w:rFonts w:ascii="Times New Roman" w:hAnsi="Times New Roman" w:cs="Times New Roman"/>
          <w:i/>
          <w:iCs/>
          <w:lang w:val="en-GB"/>
        </w:rPr>
        <w:t xml:space="preserve"> pour </w:t>
      </w:r>
      <w:proofErr w:type="spellStart"/>
      <w:r w:rsidRPr="0058277A">
        <w:rPr>
          <w:rFonts w:ascii="Times New Roman" w:hAnsi="Times New Roman" w:cs="Times New Roman"/>
          <w:i/>
          <w:iCs/>
          <w:lang w:val="en-GB"/>
        </w:rPr>
        <w:t>l’art</w:t>
      </w:r>
      <w:proofErr w:type="spellEnd"/>
      <w:r w:rsidRPr="0058277A">
        <w:rPr>
          <w:rFonts w:ascii="Times New Roman" w:hAnsi="Times New Roman" w:cs="Times New Roman"/>
          <w:i/>
          <w:iCs/>
          <w:lang w:val="en-GB"/>
        </w:rPr>
        <w:t xml:space="preserve"> </w:t>
      </w:r>
      <w:r w:rsidRPr="0058277A">
        <w:rPr>
          <w:rFonts w:ascii="Times New Roman" w:hAnsi="Times New Roman" w:cs="Times New Roman"/>
          <w:lang w:val="en-GB"/>
        </w:rPr>
        <w:t>were not that successful. This result, in the context of the structural-functionalist and post-structuralist logic (Bourdieu, 1983; Lamont et al., 2015; Parsons, 1993), is embedded in a series of studies of normativity, ethics and morality, testing the relationship between agents' dispositions and their normative judgments (Sayer, 2010).</w:t>
      </w:r>
    </w:p>
    <w:p w14:paraId="67EC18BB" w14:textId="77777777" w:rsidR="00E373D0" w:rsidRPr="0058277A" w:rsidRDefault="00E373D0" w:rsidP="00E373D0">
      <w:pPr>
        <w:autoSpaceDE w:val="0"/>
        <w:autoSpaceDN w:val="0"/>
        <w:adjustRightInd w:val="0"/>
        <w:rPr>
          <w:rFonts w:ascii="Times New Roman" w:hAnsi="Times New Roman" w:cs="Times New Roman"/>
          <w:lang w:val="en-GB"/>
        </w:rPr>
      </w:pPr>
    </w:p>
    <w:p w14:paraId="677D9CA4" w14:textId="77777777" w:rsidR="00E373D0" w:rsidRPr="0058277A" w:rsidRDefault="00E373D0" w:rsidP="00E373D0">
      <w:pPr>
        <w:autoSpaceDE w:val="0"/>
        <w:autoSpaceDN w:val="0"/>
        <w:adjustRightInd w:val="0"/>
        <w:spacing w:after="240" w:line="276" w:lineRule="auto"/>
        <w:rPr>
          <w:rFonts w:ascii="Times New Roman" w:hAnsi="Times New Roman" w:cs="Times New Roman"/>
          <w:lang w:val="en-GB"/>
        </w:rPr>
      </w:pPr>
      <w:r w:rsidRPr="0058277A">
        <w:rPr>
          <w:rFonts w:ascii="Times New Roman" w:hAnsi="Times New Roman" w:cs="Times New Roman"/>
          <w:lang w:val="en-GB"/>
        </w:rPr>
        <w:lastRenderedPageBreak/>
        <w:t>This study reveals the problems that cultural institutions face in the development of social work and inclusion programs. Besides the research value of the discovered boundary-making processes, the study also has a practical implication in the form of empirically identified "weak" aspects of the inclusive activities of museums.</w:t>
      </w:r>
    </w:p>
    <w:p w14:paraId="58EF3032" w14:textId="1DBFAE8A" w:rsidR="00E373D0" w:rsidRPr="00E37674" w:rsidRDefault="00E373D0" w:rsidP="00E373D0">
      <w:pPr>
        <w:autoSpaceDE w:val="0"/>
        <w:autoSpaceDN w:val="0"/>
        <w:adjustRightInd w:val="0"/>
        <w:spacing w:after="240" w:line="276" w:lineRule="auto"/>
        <w:rPr>
          <w:rFonts w:ascii="Times New Roman" w:hAnsi="Times New Roman" w:cs="Times New Roman"/>
          <w:b/>
          <w:bCs/>
          <w:lang w:val="ru-RU"/>
        </w:rPr>
      </w:pPr>
      <w:r w:rsidRPr="0058277A">
        <w:rPr>
          <w:rFonts w:ascii="Times New Roman" w:hAnsi="Times New Roman" w:cs="Times New Roman"/>
          <w:b/>
          <w:bCs/>
          <w:lang w:val="en-US"/>
        </w:rPr>
        <w:t>References</w:t>
      </w:r>
      <w:r w:rsidR="00E37674">
        <w:rPr>
          <w:rFonts w:ascii="Times New Roman" w:hAnsi="Times New Roman" w:cs="Times New Roman"/>
          <w:b/>
          <w:bCs/>
          <w:lang w:val="ru-RU"/>
        </w:rPr>
        <w:t>:</w:t>
      </w:r>
    </w:p>
    <w:p w14:paraId="6B18C83A"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lang w:val="ru-RU"/>
        </w:rPr>
        <w:fldChar w:fldCharType="begin" w:fldLock="1"/>
      </w:r>
      <w:r w:rsidRPr="0058277A">
        <w:rPr>
          <w:rFonts w:ascii="Times New Roman" w:hAnsi="Times New Roman" w:cs="Times New Roman"/>
          <w:lang w:val="en-US"/>
        </w:rPr>
        <w:instrText xml:space="preserve">ADDIN Mendeley Bibliography CSL_BIBLIOGRAPHY </w:instrText>
      </w:r>
      <w:r w:rsidRPr="0058277A">
        <w:rPr>
          <w:rFonts w:ascii="Times New Roman" w:hAnsi="Times New Roman" w:cs="Times New Roman"/>
          <w:lang w:val="ru-RU"/>
        </w:rPr>
        <w:fldChar w:fldCharType="separate"/>
      </w:r>
      <w:r w:rsidRPr="0058277A">
        <w:rPr>
          <w:rFonts w:ascii="Times New Roman" w:hAnsi="Times New Roman" w:cs="Times New Roman"/>
          <w:noProof/>
          <w:lang w:val="en-GB"/>
        </w:rPr>
        <w:t xml:space="preserve">Belfiore, E., &amp; Bennett, O. (2008). The social impact of the arts: An intellectual history. </w:t>
      </w:r>
      <w:r w:rsidRPr="0058277A">
        <w:rPr>
          <w:rFonts w:ascii="Times New Roman" w:hAnsi="Times New Roman" w:cs="Times New Roman"/>
          <w:i/>
          <w:iCs/>
          <w:noProof/>
          <w:lang w:val="en-GB"/>
        </w:rPr>
        <w:t>The Social Impact of the Arts: An Intellectual History</w:t>
      </w:r>
      <w:r w:rsidRPr="0058277A">
        <w:rPr>
          <w:rFonts w:ascii="Times New Roman" w:hAnsi="Times New Roman" w:cs="Times New Roman"/>
          <w:noProof/>
          <w:lang w:val="en-GB"/>
        </w:rPr>
        <w:t>, 1–240. https://doi.org/10.1057/9780230227774</w:t>
      </w:r>
    </w:p>
    <w:p w14:paraId="30C63FA6"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Bennett, T. (1995). </w:t>
      </w:r>
      <w:r w:rsidRPr="0058277A">
        <w:rPr>
          <w:rFonts w:ascii="Times New Roman" w:hAnsi="Times New Roman" w:cs="Times New Roman"/>
          <w:i/>
          <w:iCs/>
          <w:noProof/>
          <w:lang w:val="en-GB"/>
        </w:rPr>
        <w:t>THE BIRTH OF THE MUSEUM Downloaded</w:t>
      </w:r>
      <w:r w:rsidRPr="0058277A">
        <w:rPr>
          <w:rFonts w:ascii="Times New Roman" w:hAnsi="Times New Roman" w:cs="Times New Roman"/>
          <w:noProof/>
          <w:lang w:val="en-GB"/>
        </w:rPr>
        <w:t>. http://publications.lib.chalmers.se/records/fulltext/245180/245180.pdf%0Ahttps://hdl.handle.net/20.500.12380/245180%0Ahttp://dx.doi.org/10.1016/j.jsames.2011.03.003%0Ahttps://doi.org/10.1016/j.gr.2017.08.001%0Ahttp://dx.doi.org/10.1016/j.precamres.2014.12</w:t>
      </w:r>
    </w:p>
    <w:p w14:paraId="40849068"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Dawson, E. (2014). “Not Designed for Us”: How Science Museums and Science Centers Socially Exclude Low-Income, Minority Ethnic Groups. </w:t>
      </w:r>
      <w:r w:rsidRPr="0058277A">
        <w:rPr>
          <w:rFonts w:ascii="Times New Roman" w:hAnsi="Times New Roman" w:cs="Times New Roman"/>
          <w:i/>
          <w:iCs/>
          <w:noProof/>
          <w:lang w:val="en-GB"/>
        </w:rPr>
        <w:t>Science Education</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98</w:t>
      </w:r>
      <w:r w:rsidRPr="0058277A">
        <w:rPr>
          <w:rFonts w:ascii="Times New Roman" w:hAnsi="Times New Roman" w:cs="Times New Roman"/>
          <w:noProof/>
          <w:lang w:val="en-GB"/>
        </w:rPr>
        <w:t>(6), 981–1008. https://doi.org/10.1002/sce.21133</w:t>
      </w:r>
    </w:p>
    <w:p w14:paraId="38A4BC19"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Dawson, E. (2019). Equity, Exclusion and Everyday Science Learning. </w:t>
      </w:r>
      <w:r w:rsidRPr="0058277A">
        <w:rPr>
          <w:rFonts w:ascii="Times New Roman" w:hAnsi="Times New Roman" w:cs="Times New Roman"/>
          <w:i/>
          <w:iCs/>
          <w:noProof/>
          <w:lang w:val="en-GB"/>
        </w:rPr>
        <w:t>Equity, Exclusion and Everyday Science Learning</w:t>
      </w:r>
      <w:r w:rsidRPr="0058277A">
        <w:rPr>
          <w:rFonts w:ascii="Times New Roman" w:hAnsi="Times New Roman" w:cs="Times New Roman"/>
          <w:noProof/>
          <w:lang w:val="en-GB"/>
        </w:rPr>
        <w:t>. https://doi.org/10.4324/9781315266763</w:t>
      </w:r>
    </w:p>
    <w:p w14:paraId="22D0EE84"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Gert, B. (2004). Common morality: Deciding what to do. Oxford University Press.</w:t>
      </w:r>
    </w:p>
    <w:p w14:paraId="445AF2DA"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Kann-Rasmussen, N., &amp; Hvenegaard Rasmussen, C. (2020). Paradoxical autonomy in cultural organisations: an analysis of changing relations between cultural organisations and their institutional environment, with examples from libraries, archives and museums. </w:t>
      </w:r>
      <w:r w:rsidRPr="0058277A">
        <w:rPr>
          <w:rFonts w:ascii="Times New Roman" w:hAnsi="Times New Roman" w:cs="Times New Roman"/>
          <w:i/>
          <w:iCs/>
          <w:noProof/>
          <w:lang w:val="en-GB"/>
        </w:rPr>
        <w:t>International Journal of Cultural Policy</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00</w:t>
      </w:r>
      <w:r w:rsidRPr="0058277A">
        <w:rPr>
          <w:rFonts w:ascii="Times New Roman" w:hAnsi="Times New Roman" w:cs="Times New Roman"/>
          <w:noProof/>
          <w:lang w:val="en-GB"/>
        </w:rPr>
        <w:t>(00), 1–14. https://doi.org/10.1080/10286632.2020.1823976</w:t>
      </w:r>
    </w:p>
    <w:p w14:paraId="7023782C"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Lamont, M., Pendergrass, S., &amp; Pachucki, M. (2015). Symbolic Boundaries. </w:t>
      </w:r>
      <w:r w:rsidRPr="0058277A">
        <w:rPr>
          <w:rFonts w:ascii="Times New Roman" w:hAnsi="Times New Roman" w:cs="Times New Roman"/>
          <w:i/>
          <w:iCs/>
          <w:noProof/>
          <w:lang w:val="en-GB"/>
        </w:rPr>
        <w:t>International Encyclopedia of the Social &amp; Behavioral Sciences: Second Edition</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23</w:t>
      </w:r>
      <w:r w:rsidRPr="0058277A">
        <w:rPr>
          <w:rFonts w:ascii="Times New Roman" w:hAnsi="Times New Roman" w:cs="Times New Roman"/>
          <w:noProof/>
          <w:lang w:val="en-GB"/>
        </w:rPr>
        <w:t>, 850–855. https://doi.org/10.1016/B978-0-08-097086-8.10416-7</w:t>
      </w:r>
    </w:p>
    <w:p w14:paraId="1BC62E2B"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Prior, N. (2005). A question of perception: Bourdieu, art and the postmodern. </w:t>
      </w:r>
      <w:r w:rsidRPr="0058277A">
        <w:rPr>
          <w:rFonts w:ascii="Times New Roman" w:hAnsi="Times New Roman" w:cs="Times New Roman"/>
          <w:i/>
          <w:iCs/>
          <w:noProof/>
          <w:lang w:val="en-GB"/>
        </w:rPr>
        <w:t>British Journal of Sociology</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56</w:t>
      </w:r>
      <w:r w:rsidRPr="0058277A">
        <w:rPr>
          <w:rFonts w:ascii="Times New Roman" w:hAnsi="Times New Roman" w:cs="Times New Roman"/>
          <w:noProof/>
          <w:lang w:val="en-GB"/>
        </w:rPr>
        <w:t>(1), 123–139. https://doi.org/10.1111/j.1468-4446.2005.00050.x</w:t>
      </w:r>
    </w:p>
    <w:p w14:paraId="1CE5D69B"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Prior, N. (2011). Speed, rhythm, and time-space: Museums and cities. </w:t>
      </w:r>
      <w:r w:rsidRPr="0058277A">
        <w:rPr>
          <w:rFonts w:ascii="Times New Roman" w:hAnsi="Times New Roman" w:cs="Times New Roman"/>
          <w:i/>
          <w:iCs/>
          <w:noProof/>
          <w:lang w:val="en-GB"/>
        </w:rPr>
        <w:t>Space and Culture</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14</w:t>
      </w:r>
      <w:r w:rsidRPr="0058277A">
        <w:rPr>
          <w:rFonts w:ascii="Times New Roman" w:hAnsi="Times New Roman" w:cs="Times New Roman"/>
          <w:noProof/>
          <w:lang w:val="en-GB"/>
        </w:rPr>
        <w:t>(2), 197–213. https://doi.org/10.1177/1206331210392701</w:t>
      </w:r>
    </w:p>
    <w:p w14:paraId="3866A784"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Sandell, R. (1998). Museums as agents of social inclusion. </w:t>
      </w:r>
      <w:r w:rsidRPr="0058277A">
        <w:rPr>
          <w:rFonts w:ascii="Times New Roman" w:hAnsi="Times New Roman" w:cs="Times New Roman"/>
          <w:i/>
          <w:iCs/>
          <w:noProof/>
          <w:lang w:val="en-GB"/>
        </w:rPr>
        <w:t>Museum Management and Curatorship</w:t>
      </w:r>
      <w:r w:rsidRPr="0058277A">
        <w:rPr>
          <w:rFonts w:ascii="Times New Roman" w:hAnsi="Times New Roman" w:cs="Times New Roman"/>
          <w:noProof/>
          <w:lang w:val="en-GB"/>
        </w:rPr>
        <w:t xml:space="preserve">, </w:t>
      </w:r>
      <w:r w:rsidRPr="0058277A">
        <w:rPr>
          <w:rFonts w:ascii="Times New Roman" w:hAnsi="Times New Roman" w:cs="Times New Roman"/>
          <w:i/>
          <w:iCs/>
          <w:noProof/>
          <w:lang w:val="en-GB"/>
        </w:rPr>
        <w:t>17</w:t>
      </w:r>
      <w:r w:rsidRPr="0058277A">
        <w:rPr>
          <w:rFonts w:ascii="Times New Roman" w:hAnsi="Times New Roman" w:cs="Times New Roman"/>
          <w:noProof/>
          <w:lang w:val="en-GB"/>
        </w:rPr>
        <w:t>(4), 401–418. https://doi.org/10.1080/09647779800401704</w:t>
      </w:r>
    </w:p>
    <w:p w14:paraId="55353710"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 xml:space="preserve">Sandell, R. (2016). Museums, moralities and human rights. In </w:t>
      </w:r>
      <w:r w:rsidRPr="0058277A">
        <w:rPr>
          <w:rFonts w:ascii="Times New Roman" w:hAnsi="Times New Roman" w:cs="Times New Roman"/>
          <w:i/>
          <w:iCs/>
          <w:noProof/>
          <w:lang w:val="en-GB"/>
        </w:rPr>
        <w:t>Museums, Moralities and Human Rights</w:t>
      </w:r>
      <w:r w:rsidRPr="0058277A">
        <w:rPr>
          <w:rFonts w:ascii="Times New Roman" w:hAnsi="Times New Roman" w:cs="Times New Roman"/>
          <w:noProof/>
          <w:lang w:val="en-GB"/>
        </w:rPr>
        <w:t>. https://doi.org/10.4324/9781315312095</w:t>
      </w:r>
    </w:p>
    <w:p w14:paraId="758E3EEB"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t>Sayer, A. (2010). Class and morality. In Handbook of the Sociology of Morality (pp. 163-178). Springer, New York, NY.</w:t>
      </w:r>
    </w:p>
    <w:p w14:paraId="6D10C2F7"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lang w:val="en-GB"/>
        </w:rPr>
      </w:pPr>
      <w:r w:rsidRPr="0058277A">
        <w:rPr>
          <w:rFonts w:ascii="Times New Roman" w:hAnsi="Times New Roman" w:cs="Times New Roman"/>
          <w:noProof/>
          <w:lang w:val="en-GB"/>
        </w:rPr>
        <w:lastRenderedPageBreak/>
        <w:t xml:space="preserve">Silver, H. (1994). Silver_H, Exclusion-paradigms.pdf. In </w:t>
      </w:r>
      <w:r w:rsidRPr="0058277A">
        <w:rPr>
          <w:rFonts w:ascii="Times New Roman" w:hAnsi="Times New Roman" w:cs="Times New Roman"/>
          <w:i/>
          <w:iCs/>
          <w:noProof/>
          <w:lang w:val="en-GB"/>
        </w:rPr>
        <w:t>International Labour Review</w:t>
      </w:r>
      <w:r w:rsidRPr="0058277A">
        <w:rPr>
          <w:rFonts w:ascii="Times New Roman" w:hAnsi="Times New Roman" w:cs="Times New Roman"/>
          <w:noProof/>
          <w:lang w:val="en-GB"/>
        </w:rPr>
        <w:t xml:space="preserve"> (Vol. 133, Issues 5–6, pp. 531–578).</w:t>
      </w:r>
    </w:p>
    <w:p w14:paraId="371478D7" w14:textId="77777777" w:rsidR="00E373D0" w:rsidRPr="0058277A" w:rsidRDefault="00E373D0" w:rsidP="00E373D0">
      <w:pPr>
        <w:widowControl w:val="0"/>
        <w:autoSpaceDE w:val="0"/>
        <w:autoSpaceDN w:val="0"/>
        <w:adjustRightInd w:val="0"/>
        <w:spacing w:after="240"/>
        <w:ind w:left="480" w:hanging="480"/>
        <w:rPr>
          <w:rFonts w:ascii="Times New Roman" w:hAnsi="Times New Roman" w:cs="Times New Roman"/>
          <w:noProof/>
        </w:rPr>
      </w:pPr>
      <w:r w:rsidRPr="0058277A">
        <w:rPr>
          <w:rFonts w:ascii="Times New Roman" w:hAnsi="Times New Roman" w:cs="Times New Roman"/>
          <w:noProof/>
          <w:lang w:val="ru-RU"/>
        </w:rPr>
        <w:t xml:space="preserve">Парсонс, Т. (1993). </w:t>
      </w:r>
      <w:r w:rsidRPr="0058277A">
        <w:rPr>
          <w:rFonts w:ascii="Times New Roman" w:hAnsi="Times New Roman" w:cs="Times New Roman"/>
          <w:i/>
          <w:iCs/>
          <w:noProof/>
          <w:lang w:val="ru-RU"/>
        </w:rPr>
        <w:t>ПОНЯТИЕ ОБЩЕСТВА: КОМПОНЕНТЫ И ИХ ВЗАИМООТНОШЕНИЯ</w:t>
      </w:r>
      <w:r w:rsidRPr="0058277A">
        <w:rPr>
          <w:rFonts w:ascii="Times New Roman" w:hAnsi="Times New Roman" w:cs="Times New Roman"/>
          <w:noProof/>
          <w:lang w:val="ru-RU"/>
        </w:rPr>
        <w:t xml:space="preserve">. </w:t>
      </w:r>
      <w:r w:rsidRPr="0058277A">
        <w:rPr>
          <w:rFonts w:ascii="Times New Roman" w:hAnsi="Times New Roman" w:cs="Times New Roman"/>
          <w:noProof/>
          <w:lang w:val="en-GB"/>
        </w:rPr>
        <w:t>94–122.</w:t>
      </w:r>
    </w:p>
    <w:p w14:paraId="4E9F02AD" w14:textId="276C945E" w:rsidR="00E373D0" w:rsidRDefault="00E373D0" w:rsidP="00E373D0">
      <w:r w:rsidRPr="0058277A">
        <w:rPr>
          <w:rFonts w:ascii="Times New Roman" w:hAnsi="Times New Roman" w:cs="Times New Roman"/>
          <w:lang w:val="ru-RU"/>
        </w:rPr>
        <w:fldChar w:fldCharType="end"/>
      </w:r>
    </w:p>
    <w:sectPr w:rsidR="00E373D0">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1458" w14:textId="77777777" w:rsidR="00E16584" w:rsidRDefault="00E16584" w:rsidP="00E37674">
      <w:r>
        <w:separator/>
      </w:r>
    </w:p>
  </w:endnote>
  <w:endnote w:type="continuationSeparator" w:id="0">
    <w:p w14:paraId="0208136D" w14:textId="77777777" w:rsidR="00E16584" w:rsidRDefault="00E16584" w:rsidP="00E3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564500"/>
      <w:docPartObj>
        <w:docPartGallery w:val="Page Numbers (Bottom of Page)"/>
        <w:docPartUnique/>
      </w:docPartObj>
    </w:sdtPr>
    <w:sdtContent>
      <w:p w14:paraId="62175D10" w14:textId="5E0A124C" w:rsidR="00E37674" w:rsidRDefault="00E37674" w:rsidP="008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F6CA2" w14:textId="77777777" w:rsidR="00E37674" w:rsidRDefault="00E37674" w:rsidP="00E376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918707"/>
      <w:docPartObj>
        <w:docPartGallery w:val="Page Numbers (Bottom of Page)"/>
        <w:docPartUnique/>
      </w:docPartObj>
    </w:sdtPr>
    <w:sdtContent>
      <w:p w14:paraId="4443C78A" w14:textId="68C6628D" w:rsidR="00E37674" w:rsidRDefault="00E37674" w:rsidP="00824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C7A64D" w14:textId="77777777" w:rsidR="00E37674" w:rsidRDefault="00E37674" w:rsidP="00E376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C151" w14:textId="77777777" w:rsidR="00E16584" w:rsidRDefault="00E16584" w:rsidP="00E37674">
      <w:r>
        <w:separator/>
      </w:r>
    </w:p>
  </w:footnote>
  <w:footnote w:type="continuationSeparator" w:id="0">
    <w:p w14:paraId="5F5FCF88" w14:textId="77777777" w:rsidR="00E16584" w:rsidRDefault="00E16584" w:rsidP="00E37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D0"/>
    <w:rsid w:val="00E16584"/>
    <w:rsid w:val="00E373D0"/>
    <w:rsid w:val="00E3767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decimalSymbol w:val=","/>
  <w:listSeparator w:val=","/>
  <w14:docId w14:val="59F60EF3"/>
  <w15:chartTrackingRefBased/>
  <w15:docId w15:val="{727F05CC-92EE-3B40-8CFE-E2FCC79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674"/>
    <w:pPr>
      <w:tabs>
        <w:tab w:val="center" w:pos="4513"/>
        <w:tab w:val="right" w:pos="9026"/>
      </w:tabs>
    </w:pPr>
  </w:style>
  <w:style w:type="character" w:customStyle="1" w:styleId="FooterChar">
    <w:name w:val="Footer Char"/>
    <w:basedOn w:val="DefaultParagraphFont"/>
    <w:link w:val="Footer"/>
    <w:uiPriority w:val="99"/>
    <w:rsid w:val="00E37674"/>
  </w:style>
  <w:style w:type="character" w:styleId="PageNumber">
    <w:name w:val="page number"/>
    <w:basedOn w:val="DefaultParagraphFont"/>
    <w:uiPriority w:val="99"/>
    <w:semiHidden/>
    <w:unhideWhenUsed/>
    <w:rsid w:val="00E3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2628</Words>
  <Characters>19874</Characters>
  <Application>Microsoft Office Word</Application>
  <DocSecurity>0</DocSecurity>
  <Lines>331</Lines>
  <Paragraphs>101</Paragraphs>
  <ScaleCrop>false</ScaleCrop>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Данила Владимирович</dc:creator>
  <cp:keywords/>
  <dc:description/>
  <cp:lastModifiedBy>Иванов Данила Владимирович</cp:lastModifiedBy>
  <cp:revision>2</cp:revision>
  <dcterms:created xsi:type="dcterms:W3CDTF">2022-11-12T15:38:00Z</dcterms:created>
  <dcterms:modified xsi:type="dcterms:W3CDTF">2022-11-12T15:43:00Z</dcterms:modified>
</cp:coreProperties>
</file>