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7E60" w14:textId="11447BF9" w:rsidR="00112B42" w:rsidRDefault="00112B42" w:rsidP="0084519D">
      <w:pPr>
        <w:rPr>
          <w:color w:val="000000" w:themeColor="text1"/>
          <w:sz w:val="28"/>
          <w:szCs w:val="28"/>
        </w:rPr>
      </w:pPr>
      <w:r w:rsidRPr="00E9373A">
        <w:rPr>
          <w:color w:val="000000" w:themeColor="text1"/>
          <w:sz w:val="28"/>
          <w:szCs w:val="28"/>
        </w:rPr>
        <w:t>УДК 339.92</w:t>
      </w:r>
      <w:r w:rsidR="00534F65" w:rsidRPr="00E9373A">
        <w:rPr>
          <w:color w:val="000000" w:themeColor="text1"/>
          <w:sz w:val="28"/>
          <w:szCs w:val="28"/>
        </w:rPr>
        <w:t>3</w:t>
      </w:r>
    </w:p>
    <w:p w14:paraId="0B54C4B2" w14:textId="77777777" w:rsidR="005451F7" w:rsidRPr="00E9373A" w:rsidRDefault="005451F7" w:rsidP="000A6E33">
      <w:pPr>
        <w:ind w:firstLine="851"/>
        <w:rPr>
          <w:color w:val="000000" w:themeColor="text1"/>
          <w:sz w:val="28"/>
          <w:szCs w:val="28"/>
        </w:rPr>
      </w:pPr>
    </w:p>
    <w:p w14:paraId="36AEC64D" w14:textId="53627E68" w:rsidR="0021097B" w:rsidRPr="005451F7" w:rsidRDefault="0021097B" w:rsidP="005451F7">
      <w:pPr>
        <w:shd w:val="clear" w:color="auto" w:fill="FFFFFF"/>
        <w:jc w:val="right"/>
        <w:rPr>
          <w:color w:val="000000" w:themeColor="text1"/>
          <w:sz w:val="28"/>
          <w:szCs w:val="28"/>
        </w:rPr>
      </w:pPr>
      <w:r w:rsidRPr="005451F7">
        <w:rPr>
          <w:color w:val="000000" w:themeColor="text1"/>
          <w:sz w:val="28"/>
          <w:szCs w:val="28"/>
        </w:rPr>
        <w:t>Лысенок Никита Ильич</w:t>
      </w:r>
    </w:p>
    <w:p w14:paraId="69FA5182" w14:textId="5F89A6BD" w:rsidR="0021097B" w:rsidRPr="005451F7" w:rsidRDefault="00E9373A" w:rsidP="005451F7">
      <w:pPr>
        <w:shd w:val="clear" w:color="auto" w:fill="FFFFFF"/>
        <w:jc w:val="right"/>
        <w:rPr>
          <w:color w:val="000000" w:themeColor="text1"/>
          <w:sz w:val="28"/>
          <w:szCs w:val="28"/>
        </w:rPr>
      </w:pPr>
      <w:r w:rsidRPr="005451F7">
        <w:rPr>
          <w:color w:val="000000" w:themeColor="text1"/>
          <w:sz w:val="28"/>
          <w:szCs w:val="28"/>
        </w:rPr>
        <w:t>Магистрант</w:t>
      </w:r>
    </w:p>
    <w:p w14:paraId="693E1DE5" w14:textId="1F2AF1BC" w:rsidR="0021097B" w:rsidRPr="005451F7" w:rsidRDefault="0021097B" w:rsidP="005451F7">
      <w:pPr>
        <w:jc w:val="right"/>
        <w:rPr>
          <w:color w:val="000000" w:themeColor="text1"/>
          <w:sz w:val="28"/>
          <w:szCs w:val="28"/>
          <w:shd w:val="clear" w:color="auto" w:fill="FFFFFF"/>
        </w:rPr>
      </w:pPr>
      <w:r w:rsidRPr="005451F7">
        <w:rPr>
          <w:color w:val="000000" w:themeColor="text1"/>
          <w:sz w:val="28"/>
          <w:szCs w:val="28"/>
          <w:shd w:val="clear" w:color="auto" w:fill="FFFFFF"/>
        </w:rPr>
        <w:t>Национальный исследовательский университет «Высшая школа экономики»</w:t>
      </w:r>
    </w:p>
    <w:p w14:paraId="3ADBB1A0" w14:textId="02F5D189" w:rsidR="0021097B" w:rsidRPr="005F7EB5" w:rsidRDefault="0021097B" w:rsidP="005451F7">
      <w:pPr>
        <w:shd w:val="clear" w:color="auto" w:fill="FFFFFF"/>
        <w:jc w:val="right"/>
        <w:rPr>
          <w:color w:val="000000" w:themeColor="text1"/>
          <w:sz w:val="28"/>
          <w:szCs w:val="28"/>
        </w:rPr>
      </w:pPr>
      <w:r w:rsidRPr="005451F7">
        <w:rPr>
          <w:color w:val="000000" w:themeColor="text1"/>
          <w:sz w:val="28"/>
          <w:szCs w:val="28"/>
        </w:rPr>
        <w:t>Факультет</w:t>
      </w:r>
      <w:r w:rsidRPr="005F7EB5">
        <w:rPr>
          <w:color w:val="000000" w:themeColor="text1"/>
          <w:sz w:val="28"/>
          <w:szCs w:val="28"/>
        </w:rPr>
        <w:t xml:space="preserve"> </w:t>
      </w:r>
      <w:r w:rsidRPr="005451F7">
        <w:rPr>
          <w:color w:val="000000" w:themeColor="text1"/>
          <w:sz w:val="28"/>
          <w:szCs w:val="28"/>
        </w:rPr>
        <w:t>экономических</w:t>
      </w:r>
      <w:r w:rsidRPr="005F7EB5">
        <w:rPr>
          <w:color w:val="000000" w:themeColor="text1"/>
          <w:sz w:val="28"/>
          <w:szCs w:val="28"/>
        </w:rPr>
        <w:t xml:space="preserve"> </w:t>
      </w:r>
      <w:r w:rsidRPr="005451F7">
        <w:rPr>
          <w:color w:val="000000" w:themeColor="text1"/>
          <w:sz w:val="28"/>
          <w:szCs w:val="28"/>
        </w:rPr>
        <w:t>наук</w:t>
      </w:r>
      <w:r w:rsidRPr="005F7EB5">
        <w:rPr>
          <w:color w:val="000000" w:themeColor="text1"/>
          <w:sz w:val="28"/>
          <w:szCs w:val="28"/>
        </w:rPr>
        <w:t xml:space="preserve">, </w:t>
      </w:r>
      <w:r w:rsidRPr="005451F7">
        <w:rPr>
          <w:color w:val="000000" w:themeColor="text1"/>
          <w:sz w:val="28"/>
          <w:szCs w:val="28"/>
        </w:rPr>
        <w:t>Москва</w:t>
      </w:r>
      <w:r w:rsidRPr="005F7EB5">
        <w:rPr>
          <w:color w:val="000000" w:themeColor="text1"/>
          <w:sz w:val="28"/>
          <w:szCs w:val="28"/>
        </w:rPr>
        <w:t xml:space="preserve">, </w:t>
      </w:r>
      <w:r w:rsidRPr="005451F7">
        <w:rPr>
          <w:color w:val="000000" w:themeColor="text1"/>
          <w:sz w:val="28"/>
          <w:szCs w:val="28"/>
        </w:rPr>
        <w:t>Россия</w:t>
      </w:r>
    </w:p>
    <w:p w14:paraId="44D1DBA3" w14:textId="2D4BEBAD" w:rsidR="000A3D87" w:rsidRPr="000F376A" w:rsidRDefault="005451F7" w:rsidP="005451F7">
      <w:pPr>
        <w:shd w:val="clear" w:color="auto" w:fill="FFFFFF"/>
        <w:jc w:val="right"/>
        <w:rPr>
          <w:color w:val="000000" w:themeColor="text1"/>
          <w:sz w:val="28"/>
          <w:szCs w:val="28"/>
        </w:rPr>
      </w:pPr>
      <w:proofErr w:type="spellStart"/>
      <w:r w:rsidRPr="005451F7">
        <w:rPr>
          <w:color w:val="000000" w:themeColor="text1"/>
          <w:sz w:val="28"/>
          <w:szCs w:val="28"/>
          <w:lang w:val="en-US"/>
        </w:rPr>
        <w:t>nilysenok</w:t>
      </w:r>
      <w:proofErr w:type="spellEnd"/>
      <w:r w:rsidRPr="005451F7">
        <w:rPr>
          <w:color w:val="000000" w:themeColor="text1"/>
          <w:sz w:val="28"/>
          <w:szCs w:val="28"/>
        </w:rPr>
        <w:t>@</w:t>
      </w:r>
      <w:proofErr w:type="spellStart"/>
      <w:r w:rsidRPr="005451F7">
        <w:rPr>
          <w:color w:val="000000" w:themeColor="text1"/>
          <w:sz w:val="28"/>
          <w:szCs w:val="28"/>
          <w:lang w:val="en-US"/>
        </w:rPr>
        <w:t>edu</w:t>
      </w:r>
      <w:proofErr w:type="spellEnd"/>
      <w:r w:rsidRPr="005451F7">
        <w:rPr>
          <w:color w:val="000000" w:themeColor="text1"/>
          <w:sz w:val="28"/>
          <w:szCs w:val="28"/>
        </w:rPr>
        <w:t>.</w:t>
      </w:r>
      <w:proofErr w:type="spellStart"/>
      <w:r w:rsidRPr="005451F7">
        <w:rPr>
          <w:color w:val="000000" w:themeColor="text1"/>
          <w:sz w:val="28"/>
          <w:szCs w:val="28"/>
          <w:lang w:val="en-US"/>
        </w:rPr>
        <w:t>hse</w:t>
      </w:r>
      <w:proofErr w:type="spellEnd"/>
      <w:r w:rsidRPr="005451F7">
        <w:rPr>
          <w:color w:val="000000" w:themeColor="text1"/>
          <w:sz w:val="28"/>
          <w:szCs w:val="28"/>
        </w:rPr>
        <w:t>.</w:t>
      </w:r>
      <w:proofErr w:type="spellStart"/>
      <w:r w:rsidRPr="005451F7">
        <w:rPr>
          <w:color w:val="000000" w:themeColor="text1"/>
          <w:sz w:val="28"/>
          <w:szCs w:val="28"/>
          <w:lang w:val="en-US"/>
        </w:rPr>
        <w:t>ru</w:t>
      </w:r>
      <w:proofErr w:type="spellEnd"/>
    </w:p>
    <w:p w14:paraId="6919C4E5" w14:textId="1FFB2159" w:rsidR="000F376A" w:rsidRPr="00B20DD0" w:rsidRDefault="000F376A" w:rsidP="00FC2EB9">
      <w:pPr>
        <w:pStyle w:val="1"/>
        <w:jc w:val="center"/>
        <w:rPr>
          <w:sz w:val="28"/>
          <w:szCs w:val="28"/>
        </w:rPr>
      </w:pPr>
      <w:bookmarkStart w:id="0" w:name="_Toc70406663"/>
      <w:r w:rsidRPr="000F376A">
        <w:rPr>
          <w:sz w:val="28"/>
          <w:szCs w:val="28"/>
        </w:rPr>
        <w:t>ОЦЕНКА ИНВЕСТИЦИОННОЙ ПРИВЛЕКАТЕЛЬНОСТИ ФОНДОВЫХ РЫНКОВ СТРАН БРИКС</w:t>
      </w:r>
      <w:bookmarkEnd w:id="0"/>
    </w:p>
    <w:p w14:paraId="62A51DA1" w14:textId="320DA17D" w:rsidR="00A00804" w:rsidRDefault="00112B42" w:rsidP="00A00804">
      <w:pPr>
        <w:jc w:val="both"/>
        <w:rPr>
          <w:noProof/>
          <w:color w:val="000000" w:themeColor="text1"/>
          <w:sz w:val="20"/>
          <w:szCs w:val="20"/>
        </w:rPr>
      </w:pPr>
      <w:r w:rsidRPr="00E9373A">
        <w:rPr>
          <w:b/>
          <w:bCs/>
          <w:noProof/>
          <w:color w:val="000000" w:themeColor="text1"/>
          <w:sz w:val="20"/>
          <w:szCs w:val="20"/>
        </w:rPr>
        <w:t>Аннотация.</w:t>
      </w:r>
      <w:r w:rsidRPr="00E9373A">
        <w:rPr>
          <w:noProof/>
          <w:color w:val="000000" w:themeColor="text1"/>
          <w:sz w:val="20"/>
          <w:szCs w:val="20"/>
        </w:rPr>
        <w:t xml:space="preserve"> </w:t>
      </w:r>
      <w:r w:rsidR="00A00804" w:rsidRPr="00A00804">
        <w:rPr>
          <w:noProof/>
          <w:color w:val="000000" w:themeColor="text1"/>
          <w:sz w:val="20"/>
          <w:szCs w:val="20"/>
        </w:rPr>
        <w:t xml:space="preserve">Данное исследование посвящено анализу основных тенденций, которые сложились за последние 15 лет в работе экономик стран БРИКС. С помощью многофакторного </w:t>
      </w:r>
      <w:r w:rsidR="004B6F6A" w:rsidRPr="004B6F6A">
        <w:rPr>
          <w:noProof/>
          <w:color w:val="000000" w:themeColor="text1"/>
          <w:sz w:val="20"/>
          <w:szCs w:val="20"/>
        </w:rPr>
        <w:t>регрессионного</w:t>
      </w:r>
      <w:r w:rsidR="004B6F6A">
        <w:rPr>
          <w:noProof/>
          <w:color w:val="000000" w:themeColor="text1"/>
          <w:sz w:val="20"/>
          <w:szCs w:val="20"/>
        </w:rPr>
        <w:t xml:space="preserve"> </w:t>
      </w:r>
      <w:r w:rsidR="00A00804" w:rsidRPr="00A00804">
        <w:rPr>
          <w:noProof/>
          <w:color w:val="000000" w:themeColor="text1"/>
          <w:sz w:val="20"/>
          <w:szCs w:val="20"/>
        </w:rPr>
        <w:t>моделирования  был проанализирован и спрогнозировал потенциал финансовой привлекательности фондовых рынков стран БРИКС. В основе исследования лежит предположение, о текущей недооценённой стоимости компаний из стран БРИКС, которое базируется на сопоставлении финансовых мультипликаторов компаний с динамикой макроэкономических индикаторов стран БРИКС и перспектив их будущего изменения. В ходе исследования для каждой из стран БРИКС была разработана собственная  эконометрическая модель с уникальным набором факторов и параметрами регрессии прогнозирующая будущие уровни национальных фондовых индексов при сохранении текущих макроэкономических трендов.</w:t>
      </w:r>
    </w:p>
    <w:p w14:paraId="60FE0CEB" w14:textId="7FF9BD79" w:rsidR="00112B42" w:rsidRPr="00E9373A" w:rsidRDefault="00112B42" w:rsidP="00A00804">
      <w:pPr>
        <w:jc w:val="both"/>
        <w:rPr>
          <w:noProof/>
          <w:color w:val="000000" w:themeColor="text1"/>
          <w:sz w:val="20"/>
          <w:szCs w:val="20"/>
        </w:rPr>
      </w:pPr>
      <w:r w:rsidRPr="00E9373A">
        <w:rPr>
          <w:b/>
          <w:bCs/>
          <w:color w:val="000000" w:themeColor="text1"/>
          <w:sz w:val="20"/>
          <w:szCs w:val="20"/>
        </w:rPr>
        <w:t>Ключев</w:t>
      </w:r>
      <w:r w:rsidR="00E41C41" w:rsidRPr="00E9373A">
        <w:rPr>
          <w:b/>
          <w:bCs/>
          <w:color w:val="000000" w:themeColor="text1"/>
          <w:sz w:val="20"/>
          <w:szCs w:val="20"/>
        </w:rPr>
        <w:t>ые</w:t>
      </w:r>
      <w:r w:rsidRPr="00E9373A">
        <w:rPr>
          <w:b/>
          <w:bCs/>
          <w:color w:val="000000" w:themeColor="text1"/>
          <w:sz w:val="20"/>
          <w:szCs w:val="20"/>
        </w:rPr>
        <w:t xml:space="preserve"> слова.</w:t>
      </w:r>
      <w:r w:rsidRPr="00E9373A">
        <w:rPr>
          <w:color w:val="000000" w:themeColor="text1"/>
          <w:sz w:val="20"/>
          <w:szCs w:val="20"/>
        </w:rPr>
        <w:t xml:space="preserve"> БРИКС, экономика, </w:t>
      </w:r>
      <w:r w:rsidR="00D725D3">
        <w:rPr>
          <w:color w:val="000000" w:themeColor="text1"/>
          <w:sz w:val="20"/>
          <w:szCs w:val="20"/>
        </w:rPr>
        <w:t>финансовые рынки</w:t>
      </w:r>
      <w:r w:rsidRPr="00E9373A">
        <w:rPr>
          <w:color w:val="000000" w:themeColor="text1"/>
          <w:sz w:val="20"/>
          <w:szCs w:val="20"/>
        </w:rPr>
        <w:t xml:space="preserve">, </w:t>
      </w:r>
      <w:r w:rsidR="00D725D3">
        <w:rPr>
          <w:color w:val="000000" w:themeColor="text1"/>
          <w:sz w:val="20"/>
          <w:szCs w:val="20"/>
        </w:rPr>
        <w:t>эконометрическая модель</w:t>
      </w:r>
      <w:r w:rsidRPr="00E9373A">
        <w:rPr>
          <w:color w:val="000000" w:themeColor="text1"/>
          <w:sz w:val="20"/>
          <w:szCs w:val="20"/>
        </w:rPr>
        <w:t xml:space="preserve">, </w:t>
      </w:r>
      <w:r w:rsidR="00D725D3">
        <w:rPr>
          <w:color w:val="000000" w:themeColor="text1"/>
          <w:sz w:val="20"/>
          <w:szCs w:val="20"/>
        </w:rPr>
        <w:t>инвестиционная привлекательность</w:t>
      </w:r>
      <w:r w:rsidRPr="00E9373A">
        <w:rPr>
          <w:color w:val="000000" w:themeColor="text1"/>
          <w:sz w:val="20"/>
          <w:szCs w:val="20"/>
        </w:rPr>
        <w:t xml:space="preserve">. </w:t>
      </w:r>
    </w:p>
    <w:p w14:paraId="17D6CB6A" w14:textId="4CF996D5" w:rsidR="0084519D" w:rsidRPr="005F7EB5" w:rsidRDefault="0084519D" w:rsidP="007A329F">
      <w:pPr>
        <w:jc w:val="both"/>
        <w:rPr>
          <w:color w:val="000000" w:themeColor="text1"/>
          <w:sz w:val="20"/>
          <w:szCs w:val="20"/>
        </w:rPr>
      </w:pPr>
    </w:p>
    <w:p w14:paraId="2B9EE1E3" w14:textId="77777777" w:rsidR="00F06B33" w:rsidRPr="007B0D31" w:rsidRDefault="00F06B33" w:rsidP="00F06B33">
      <w:pPr>
        <w:jc w:val="both"/>
        <w:rPr>
          <w:rFonts w:eastAsiaTheme="minorHAnsi"/>
          <w:sz w:val="20"/>
          <w:szCs w:val="20"/>
          <w:lang w:eastAsia="en-US"/>
        </w:rPr>
      </w:pPr>
      <w:r w:rsidRPr="007B0D31">
        <w:rPr>
          <w:color w:val="000000" w:themeColor="text1"/>
          <w:sz w:val="20"/>
          <w:szCs w:val="20"/>
        </w:rPr>
        <w:t xml:space="preserve">Предлагаемое исследование содержит аналитическую оценку финансовых показателей компаний стран БРИКС, в сравнении с аналогичными показателями крупнейших компаний из развитых стран. В основе исследования лежит предположение, о текущей недооценённой стоимости компаний из стран БРИКС, которое базируется на сопоставлении финансовых мультипликаторов компаний с динамикой макроэкономических индикаторов стран БРИКС и перспектив их будущего изменения. На уровне компаний использовались наиболее актуальные для потенциальных инвесторов показатели: рентабельность, дивиденды, выручка, в то время как для странового уровня использовались индексы </w:t>
      </w:r>
      <w:r w:rsidRPr="007B0D31">
        <w:rPr>
          <w:color w:val="000000" w:themeColor="text1"/>
          <w:sz w:val="20"/>
          <w:szCs w:val="20"/>
          <w:lang w:val="en-US"/>
        </w:rPr>
        <w:t>PMI</w:t>
      </w:r>
      <w:r w:rsidRPr="007B0D31">
        <w:rPr>
          <w:color w:val="000000" w:themeColor="text1"/>
          <w:sz w:val="20"/>
          <w:szCs w:val="20"/>
        </w:rPr>
        <w:t>, ВВП, индикаторы безработицы и инфляцию.</w:t>
      </w:r>
      <w:r w:rsidRPr="007B0D31">
        <w:rPr>
          <w:sz w:val="20"/>
          <w:szCs w:val="20"/>
        </w:rPr>
        <w:t xml:space="preserve"> Среди исследований, проанализированных автором, четко просматривается тезис о больших перспективах синергетического эффекта от экономического взаимодействия стран БРИКС. Например, в работах “</w:t>
      </w:r>
      <w:r w:rsidRPr="007B0D31">
        <w:rPr>
          <w:rFonts w:eastAsiaTheme="minorHAnsi"/>
          <w:sz w:val="20"/>
          <w:szCs w:val="20"/>
          <w:lang w:eastAsia="en-US"/>
        </w:rPr>
        <w:t>Стратегия развития БРИКС и приоритеты для России”</w:t>
      </w:r>
      <w:r>
        <w:rPr>
          <w:rStyle w:val="af0"/>
          <w:rFonts w:eastAsiaTheme="minorHAnsi"/>
          <w:sz w:val="20"/>
          <w:szCs w:val="20"/>
          <w:lang w:eastAsia="en-US"/>
        </w:rPr>
        <w:footnoteReference w:id="1"/>
      </w:r>
      <w:r w:rsidRPr="007B0D31">
        <w:rPr>
          <w:rFonts w:eastAsiaTheme="minorHAnsi"/>
          <w:sz w:val="20"/>
          <w:szCs w:val="20"/>
          <w:lang w:eastAsia="en-US"/>
        </w:rPr>
        <w:t xml:space="preserve"> и “Страны БРИКС на мировой арене: анализ и перспективы развития”</w:t>
      </w:r>
      <w:r>
        <w:rPr>
          <w:rStyle w:val="af0"/>
          <w:rFonts w:eastAsiaTheme="minorHAnsi"/>
          <w:sz w:val="20"/>
          <w:szCs w:val="20"/>
          <w:lang w:eastAsia="en-US"/>
        </w:rPr>
        <w:footnoteReference w:id="2"/>
      </w:r>
      <w:r w:rsidRPr="007B0D31">
        <w:rPr>
          <w:rFonts w:eastAsiaTheme="minorHAnsi"/>
          <w:sz w:val="20"/>
          <w:szCs w:val="20"/>
          <w:lang w:eastAsia="en-US"/>
        </w:rPr>
        <w:t xml:space="preserve">, отдельно отмечено, что сотрудничество стран БРИКС положительно отражается на торговых балансах стран участниц. Очевидно, что это, в свою очередь, оказывает позитивный эффект не только на динамике фондовых индексов, но и на валютных курсах. </w:t>
      </w:r>
    </w:p>
    <w:p w14:paraId="094C7AB7" w14:textId="77777777" w:rsidR="00F06B33" w:rsidRPr="007B0D31" w:rsidRDefault="00F06B33" w:rsidP="00F06B33">
      <w:pPr>
        <w:jc w:val="both"/>
        <w:rPr>
          <w:rFonts w:eastAsiaTheme="minorHAnsi"/>
          <w:sz w:val="20"/>
          <w:szCs w:val="20"/>
          <w:lang w:eastAsia="en-US"/>
        </w:rPr>
      </w:pPr>
      <w:r w:rsidRPr="007B0D31">
        <w:rPr>
          <w:rFonts w:eastAsiaTheme="minorHAnsi"/>
          <w:sz w:val="20"/>
          <w:szCs w:val="20"/>
          <w:lang w:eastAsia="en-US"/>
        </w:rPr>
        <w:t>В то же время, в исследовании “</w:t>
      </w:r>
      <w:r w:rsidRPr="007B0D31">
        <w:rPr>
          <w:sz w:val="20"/>
          <w:szCs w:val="20"/>
        </w:rPr>
        <w:t>Состояние финансовых рынков стран БРИКС в условиях глобальной экономической нестабильности</w:t>
      </w:r>
      <w:r w:rsidRPr="007B0D31">
        <w:rPr>
          <w:rFonts w:eastAsiaTheme="minorHAnsi"/>
          <w:sz w:val="20"/>
          <w:szCs w:val="20"/>
          <w:lang w:eastAsia="en-US"/>
        </w:rPr>
        <w:t>”</w:t>
      </w:r>
      <w:r>
        <w:rPr>
          <w:rStyle w:val="af0"/>
          <w:rFonts w:eastAsiaTheme="minorHAnsi"/>
          <w:sz w:val="20"/>
          <w:szCs w:val="20"/>
          <w:lang w:eastAsia="en-US"/>
        </w:rPr>
        <w:footnoteReference w:id="3"/>
      </w:r>
      <w:r w:rsidRPr="007B0D31">
        <w:rPr>
          <w:rFonts w:eastAsiaTheme="minorHAnsi"/>
          <w:sz w:val="20"/>
          <w:szCs w:val="20"/>
          <w:lang w:eastAsia="en-US"/>
        </w:rPr>
        <w:t xml:space="preserve"> и “</w:t>
      </w:r>
      <w:r w:rsidRPr="007B0D31">
        <w:rPr>
          <w:sz w:val="20"/>
          <w:szCs w:val="20"/>
        </w:rPr>
        <w:t xml:space="preserve"> Сравнительная характеристика финансовых рынков стран БРИКС</w:t>
      </w:r>
      <w:r w:rsidRPr="007B0D31">
        <w:rPr>
          <w:rFonts w:eastAsiaTheme="minorHAnsi"/>
          <w:sz w:val="20"/>
          <w:szCs w:val="20"/>
          <w:lang w:eastAsia="en-US"/>
        </w:rPr>
        <w:t>”</w:t>
      </w:r>
      <w:r>
        <w:rPr>
          <w:rStyle w:val="af0"/>
          <w:rFonts w:eastAsiaTheme="minorHAnsi"/>
          <w:sz w:val="20"/>
          <w:szCs w:val="20"/>
          <w:lang w:eastAsia="en-US"/>
        </w:rPr>
        <w:footnoteReference w:id="4"/>
      </w:r>
      <w:r w:rsidRPr="007B0D31">
        <w:rPr>
          <w:rFonts w:eastAsiaTheme="minorHAnsi"/>
          <w:sz w:val="20"/>
          <w:szCs w:val="20"/>
          <w:lang w:eastAsia="en-US"/>
        </w:rPr>
        <w:t>, рассмотрены корреляции фондовых индексов с экономическими показателями. Взяв за основу расчеты, приведённые в статье “Прогноз развития финансовых рынков РФ до 2020 года”</w:t>
      </w:r>
      <w:r>
        <w:rPr>
          <w:rStyle w:val="af0"/>
          <w:rFonts w:eastAsiaTheme="minorHAnsi"/>
          <w:sz w:val="20"/>
          <w:szCs w:val="20"/>
          <w:lang w:eastAsia="en-US"/>
        </w:rPr>
        <w:footnoteReference w:id="5"/>
      </w:r>
      <w:r w:rsidRPr="007B0D31">
        <w:rPr>
          <w:rFonts w:eastAsiaTheme="minorHAnsi"/>
          <w:sz w:val="20"/>
          <w:szCs w:val="20"/>
          <w:lang w:eastAsia="en-US"/>
        </w:rPr>
        <w:t xml:space="preserve"> и методологию из работы “</w:t>
      </w:r>
      <w:r w:rsidRPr="007B0D31">
        <w:rPr>
          <w:sz w:val="20"/>
          <w:szCs w:val="20"/>
        </w:rPr>
        <w:t>Экономико-математическая модель прогнозирования динамики финансового рынка</w:t>
      </w:r>
      <w:r w:rsidRPr="007B0D31">
        <w:rPr>
          <w:rFonts w:eastAsiaTheme="minorHAnsi"/>
          <w:sz w:val="20"/>
          <w:szCs w:val="20"/>
          <w:lang w:eastAsia="en-US"/>
        </w:rPr>
        <w:t>”</w:t>
      </w:r>
      <w:r>
        <w:rPr>
          <w:rStyle w:val="af0"/>
          <w:rFonts w:eastAsiaTheme="minorHAnsi"/>
          <w:sz w:val="20"/>
          <w:szCs w:val="20"/>
          <w:lang w:eastAsia="en-US"/>
        </w:rPr>
        <w:footnoteReference w:id="6"/>
      </w:r>
      <w:r w:rsidRPr="007B0D31">
        <w:rPr>
          <w:rFonts w:eastAsiaTheme="minorHAnsi"/>
          <w:sz w:val="20"/>
          <w:szCs w:val="20"/>
          <w:lang w:eastAsia="en-US"/>
        </w:rPr>
        <w:t xml:space="preserve">, автор составил собственную </w:t>
      </w:r>
      <w:r w:rsidRPr="007B0D31">
        <w:rPr>
          <w:sz w:val="20"/>
          <w:szCs w:val="20"/>
        </w:rPr>
        <w:t xml:space="preserve">эконометрическую модель и сделал больший акцент на актуальных данных с длительным временным диапазоном, а также расширил количество показателей, которые обладают большей корреляцией с фондовыми индексами стран БРИКС. </w:t>
      </w:r>
    </w:p>
    <w:p w14:paraId="560C6943" w14:textId="77777777" w:rsidR="00F06B33" w:rsidRPr="007B0D31" w:rsidRDefault="00F06B33" w:rsidP="00F06B33">
      <w:pPr>
        <w:snapToGrid w:val="0"/>
        <w:mirrorIndents/>
        <w:jc w:val="both"/>
        <w:rPr>
          <w:color w:val="000000" w:themeColor="text1"/>
          <w:sz w:val="20"/>
          <w:szCs w:val="20"/>
        </w:rPr>
      </w:pPr>
      <w:r w:rsidRPr="007B0D31">
        <w:rPr>
          <w:color w:val="000000" w:themeColor="text1"/>
          <w:sz w:val="20"/>
          <w:szCs w:val="20"/>
        </w:rPr>
        <w:t xml:space="preserve">Важным фактором, который по мнению автора, не учитывается в сегодняшней стоимости компаний БРИК, является устойчивость экономических систем стран этой условной группы на фоне экономик Западного мира. </w:t>
      </w:r>
      <w:r w:rsidRPr="007B0D31">
        <w:rPr>
          <w:color w:val="000000" w:themeColor="text1"/>
          <w:sz w:val="20"/>
          <w:szCs w:val="20"/>
        </w:rPr>
        <w:lastRenderedPageBreak/>
        <w:t xml:space="preserve">Сравнительный анализ долговой нагрузки, индексов ВВП, безработицы, потребительского спроса (товары долгосрочного использования и потребительского товарооборота), индексов инфляции (PPI, </w:t>
      </w:r>
      <w:r w:rsidRPr="007B0D31">
        <w:rPr>
          <w:color w:val="000000" w:themeColor="text1"/>
          <w:sz w:val="20"/>
          <w:szCs w:val="20"/>
          <w:lang w:val="en-US"/>
        </w:rPr>
        <w:t>CPI</w:t>
      </w:r>
      <w:r w:rsidRPr="007B0D31">
        <w:rPr>
          <w:color w:val="000000" w:themeColor="text1"/>
          <w:sz w:val="20"/>
          <w:szCs w:val="20"/>
        </w:rPr>
        <w:t xml:space="preserve">), позволил автору предположить, что потенциал будущего совокупного прироста реального ВВП (агрегированного для всего БРИКС) будет иметь не только лучшую динамику, чем у развитых стран Запада, но и более устойчивую и долгосрочную динамику. </w:t>
      </w:r>
    </w:p>
    <w:p w14:paraId="352F24AE" w14:textId="77777777" w:rsidR="00F06B33" w:rsidRPr="007B0D31" w:rsidRDefault="00F06B33" w:rsidP="00F06B33">
      <w:pPr>
        <w:snapToGrid w:val="0"/>
        <w:mirrorIndents/>
        <w:jc w:val="both"/>
        <w:rPr>
          <w:sz w:val="20"/>
          <w:szCs w:val="20"/>
        </w:rPr>
      </w:pPr>
      <w:r w:rsidRPr="007B0D31">
        <w:rPr>
          <w:color w:val="000000" w:themeColor="text1"/>
          <w:sz w:val="20"/>
          <w:szCs w:val="20"/>
        </w:rPr>
        <w:t xml:space="preserve">На основании собственной аналитики и по оценкам крупных аналитических агентств, автор приходит к выводу о благоприятном прогнозе развития экономик стран БРИКС и уверенном росте стоимости национальных компаний, переходу рынка к справедливой оценке их акций. Оригинальность исследования состоит в том, что </w:t>
      </w:r>
      <w:r w:rsidRPr="007B0D31">
        <w:rPr>
          <w:sz w:val="20"/>
          <w:szCs w:val="20"/>
        </w:rPr>
        <w:t xml:space="preserve">была произведена математическая оценка перспективности рыночных индексов стран БРИКС. Оценка базировалась на методе эконометрического исследования, включающего ключевые макроэкономические показатели, как составляющие многофакторной модели.  </w:t>
      </w:r>
    </w:p>
    <w:p w14:paraId="4F913092" w14:textId="582E06C7" w:rsidR="0084519D" w:rsidRPr="00F06B33" w:rsidRDefault="00F06B33" w:rsidP="00F06B33">
      <w:pPr>
        <w:snapToGrid w:val="0"/>
        <w:mirrorIndents/>
        <w:jc w:val="both"/>
        <w:rPr>
          <w:color w:val="000000" w:themeColor="text1"/>
          <w:sz w:val="20"/>
          <w:szCs w:val="20"/>
        </w:rPr>
      </w:pPr>
      <w:r w:rsidRPr="007B0D31">
        <w:rPr>
          <w:color w:val="000000" w:themeColor="text1"/>
          <w:sz w:val="20"/>
          <w:szCs w:val="20"/>
        </w:rPr>
        <w:t>В итоговом выводе, автор показывает, не смотря на высокую волатильность после ковидного “шока”,</w:t>
      </w:r>
      <w:r w:rsidRPr="007B0D31">
        <w:rPr>
          <w:strike/>
          <w:color w:val="000000" w:themeColor="text1"/>
          <w:sz w:val="20"/>
          <w:szCs w:val="20"/>
        </w:rPr>
        <w:t xml:space="preserve"> </w:t>
      </w:r>
      <w:r w:rsidRPr="007B0D31">
        <w:rPr>
          <w:color w:val="000000" w:themeColor="text1"/>
          <w:sz w:val="20"/>
          <w:szCs w:val="20"/>
        </w:rPr>
        <w:t>экономики стран БРИКС выступают устойчивой альтернативой для инвестирования и в скором времени компании БРИКС в глазах мировых инвесторов станут полноценным инструментом сохранения и преумножения капитала. Устойчивость роста вкупе с его большими перспективами должны будут сломать бытующее сегодня предвзятое отношение инвесторов, которые до сих пор уделяют большее внимание именно зарекомендовавшим себя западными компаниями, игнорируя положительную динамику развития стран БРИКС, и, как итог, высокие операционные показатели их компаний. Автор дает прикладные рекомендации по секторам экономики, оценивает в сравнительном анализе «голубые фишки» по странам БРИКС, как основу для инвестиционных портфелей.</w:t>
      </w:r>
    </w:p>
    <w:p w14:paraId="01D8C2F0" w14:textId="73BB2A5B" w:rsidR="00F06B33" w:rsidRPr="007A329F" w:rsidRDefault="007A329F" w:rsidP="00F06B33">
      <w:pPr>
        <w:jc w:val="center"/>
        <w:rPr>
          <w:sz w:val="28"/>
          <w:szCs w:val="28"/>
        </w:rPr>
      </w:pPr>
      <w:r w:rsidRPr="00C120CE">
        <w:rPr>
          <w:sz w:val="28"/>
          <w:szCs w:val="28"/>
        </w:rPr>
        <w:t>ЛИТЕРАТУРА</w:t>
      </w:r>
    </w:p>
    <w:p w14:paraId="0C7776A5" w14:textId="77777777" w:rsidR="00F06B33" w:rsidRDefault="00F06B33" w:rsidP="00F06B33">
      <w:pPr>
        <w:pStyle w:val="a7"/>
        <w:numPr>
          <w:ilvl w:val="0"/>
          <w:numId w:val="2"/>
        </w:numPr>
        <w:ind w:left="0" w:firstLine="0"/>
        <w:mirrorIndents/>
        <w:rPr>
          <w:rFonts w:ascii="Times New Roman" w:hAnsi="Times New Roman"/>
          <w:color w:val="000000" w:themeColor="text1"/>
          <w:sz w:val="20"/>
          <w:szCs w:val="20"/>
        </w:rPr>
      </w:pPr>
      <w:r w:rsidRPr="00D27C40">
        <w:rPr>
          <w:rFonts w:ascii="Times New Roman" w:hAnsi="Times New Roman"/>
          <w:color w:val="000000" w:themeColor="text1"/>
          <w:sz w:val="20"/>
          <w:szCs w:val="20"/>
        </w:rPr>
        <w:t xml:space="preserve">М.Л. </w:t>
      </w:r>
      <w:proofErr w:type="spellStart"/>
      <w:r w:rsidRPr="00D27C40">
        <w:rPr>
          <w:rFonts w:ascii="Times New Roman" w:hAnsi="Times New Roman"/>
          <w:color w:val="000000" w:themeColor="text1"/>
          <w:sz w:val="20"/>
          <w:szCs w:val="20"/>
        </w:rPr>
        <w:t>Баталина</w:t>
      </w:r>
      <w:proofErr w:type="spellEnd"/>
      <w:r w:rsidRPr="00D27C40">
        <w:rPr>
          <w:rFonts w:ascii="Times New Roman" w:hAnsi="Times New Roman"/>
          <w:color w:val="000000" w:themeColor="text1"/>
          <w:sz w:val="20"/>
          <w:szCs w:val="20"/>
        </w:rPr>
        <w:t xml:space="preserve">, Т.В. </w:t>
      </w:r>
      <w:proofErr w:type="spellStart"/>
      <w:r w:rsidRPr="00D27C40">
        <w:rPr>
          <w:rFonts w:ascii="Times New Roman" w:hAnsi="Times New Roman"/>
          <w:color w:val="000000" w:themeColor="text1"/>
          <w:sz w:val="20"/>
          <w:szCs w:val="20"/>
        </w:rPr>
        <w:t>Бордачев</w:t>
      </w:r>
      <w:proofErr w:type="spellEnd"/>
      <w:r w:rsidRPr="00D27C40">
        <w:rPr>
          <w:rFonts w:ascii="Times New Roman" w:hAnsi="Times New Roman"/>
          <w:color w:val="000000" w:themeColor="text1"/>
          <w:sz w:val="20"/>
          <w:szCs w:val="20"/>
        </w:rPr>
        <w:t xml:space="preserve">, М.С. Бочкова, и др. Стратегия развития БРИКС и приоритеты для России // Доклад К ХXI Апрельской международной научной конференции по проблемам развития экономики и общества. 2020. </w:t>
      </w:r>
    </w:p>
    <w:p w14:paraId="5E0F3CA8" w14:textId="77777777" w:rsidR="00F06B33" w:rsidRPr="0045115F" w:rsidRDefault="00F06B33" w:rsidP="00F06B33">
      <w:pPr>
        <w:pStyle w:val="a7"/>
        <w:numPr>
          <w:ilvl w:val="0"/>
          <w:numId w:val="2"/>
        </w:numPr>
        <w:ind w:left="0" w:firstLine="0"/>
        <w:mirrorIndents/>
        <w:rPr>
          <w:rFonts w:ascii="Times New Roman" w:hAnsi="Times New Roman"/>
          <w:color w:val="000000" w:themeColor="text1"/>
          <w:sz w:val="20"/>
          <w:szCs w:val="20"/>
        </w:rPr>
      </w:pPr>
      <w:r w:rsidRPr="0045115F">
        <w:rPr>
          <w:rFonts w:ascii="Times New Roman" w:hAnsi="Times New Roman"/>
          <w:color w:val="000000" w:themeColor="text1"/>
          <w:sz w:val="20"/>
          <w:szCs w:val="20"/>
        </w:rPr>
        <w:t>Довыденко В.А. Страны БРИКС на мировой арене: анализ и перспективы развития // 2020.</w:t>
      </w:r>
    </w:p>
    <w:p w14:paraId="0996D306" w14:textId="77777777" w:rsidR="00F06B33" w:rsidRDefault="00F06B33" w:rsidP="00F06B33">
      <w:pPr>
        <w:pStyle w:val="a7"/>
        <w:numPr>
          <w:ilvl w:val="0"/>
          <w:numId w:val="2"/>
        </w:numPr>
        <w:ind w:left="0" w:firstLine="0"/>
        <w:mirrorIndents/>
        <w:rPr>
          <w:rFonts w:ascii="Times New Roman" w:hAnsi="Times New Roman"/>
          <w:color w:val="000000" w:themeColor="text1"/>
          <w:sz w:val="20"/>
          <w:szCs w:val="20"/>
        </w:rPr>
      </w:pPr>
      <w:proofErr w:type="spellStart"/>
      <w:r w:rsidRPr="00D725D3">
        <w:rPr>
          <w:rFonts w:ascii="Times New Roman" w:hAnsi="Times New Roman"/>
          <w:color w:val="000000" w:themeColor="text1"/>
          <w:sz w:val="20"/>
          <w:szCs w:val="20"/>
        </w:rPr>
        <w:t>Друзин</w:t>
      </w:r>
      <w:proofErr w:type="spellEnd"/>
      <w:r w:rsidRPr="00D725D3">
        <w:rPr>
          <w:rFonts w:ascii="Times New Roman" w:hAnsi="Times New Roman"/>
          <w:color w:val="000000" w:themeColor="text1"/>
          <w:sz w:val="20"/>
          <w:szCs w:val="20"/>
        </w:rPr>
        <w:t xml:space="preserve"> Р.В., </w:t>
      </w:r>
      <w:proofErr w:type="spellStart"/>
      <w:r w:rsidRPr="00D725D3">
        <w:rPr>
          <w:rFonts w:ascii="Times New Roman" w:hAnsi="Times New Roman"/>
          <w:color w:val="000000" w:themeColor="text1"/>
          <w:sz w:val="20"/>
          <w:szCs w:val="20"/>
        </w:rPr>
        <w:t>Барсегян</w:t>
      </w:r>
      <w:proofErr w:type="spellEnd"/>
      <w:r w:rsidRPr="00D725D3">
        <w:rPr>
          <w:rFonts w:ascii="Times New Roman" w:hAnsi="Times New Roman"/>
          <w:color w:val="000000" w:themeColor="text1"/>
          <w:sz w:val="20"/>
          <w:szCs w:val="20"/>
        </w:rPr>
        <w:t xml:space="preserve"> А.Г., Науменко Р.В. Состояние финансовых рынков стран БРИКС в условиях глобальной экономической нестабильности // Ученые записки Крымского федерального университета имени В. И. Вернадского. Экономика и управление. 2018.</w:t>
      </w:r>
    </w:p>
    <w:p w14:paraId="7A2A466C" w14:textId="77777777" w:rsidR="00F06B33" w:rsidRDefault="00F06B33" w:rsidP="00F06B33">
      <w:pPr>
        <w:pStyle w:val="a7"/>
        <w:numPr>
          <w:ilvl w:val="0"/>
          <w:numId w:val="2"/>
        </w:numPr>
        <w:ind w:left="0" w:firstLine="0"/>
        <w:mirrorIndents/>
        <w:rPr>
          <w:rFonts w:ascii="Times New Roman" w:hAnsi="Times New Roman"/>
          <w:color w:val="000000" w:themeColor="text1"/>
          <w:sz w:val="20"/>
          <w:szCs w:val="20"/>
        </w:rPr>
      </w:pPr>
      <w:r w:rsidRPr="00D725D3">
        <w:rPr>
          <w:rFonts w:ascii="Times New Roman" w:hAnsi="Times New Roman"/>
          <w:color w:val="000000" w:themeColor="text1"/>
          <w:sz w:val="20"/>
          <w:szCs w:val="20"/>
        </w:rPr>
        <w:t>Михайлова Е.В., Горбунова О.А. Сравнительная характеристика финансовых рынков стран БРИКС // Вестник евразийской науки. 2019.</w:t>
      </w:r>
    </w:p>
    <w:p w14:paraId="42DC94BF" w14:textId="77777777" w:rsidR="00F06B33" w:rsidRDefault="00F06B33" w:rsidP="00F06B33">
      <w:pPr>
        <w:pStyle w:val="a7"/>
        <w:numPr>
          <w:ilvl w:val="0"/>
          <w:numId w:val="2"/>
        </w:numPr>
        <w:ind w:left="0" w:firstLine="0"/>
        <w:mirrorIndents/>
        <w:rPr>
          <w:rFonts w:ascii="Times New Roman" w:hAnsi="Times New Roman"/>
          <w:color w:val="000000" w:themeColor="text1"/>
          <w:sz w:val="20"/>
          <w:szCs w:val="20"/>
        </w:rPr>
      </w:pPr>
      <w:r w:rsidRPr="008A1FD1">
        <w:rPr>
          <w:rFonts w:ascii="Times New Roman" w:hAnsi="Times New Roman"/>
          <w:color w:val="000000" w:themeColor="text1"/>
          <w:sz w:val="20"/>
          <w:szCs w:val="20"/>
        </w:rPr>
        <w:t xml:space="preserve">А. </w:t>
      </w:r>
      <w:proofErr w:type="spellStart"/>
      <w:r w:rsidRPr="008A1FD1">
        <w:rPr>
          <w:rFonts w:ascii="Times New Roman" w:hAnsi="Times New Roman"/>
          <w:color w:val="000000" w:themeColor="text1"/>
          <w:sz w:val="20"/>
          <w:szCs w:val="20"/>
        </w:rPr>
        <w:t>Ведев</w:t>
      </w:r>
      <w:proofErr w:type="spellEnd"/>
      <w:r w:rsidRPr="008A1FD1">
        <w:rPr>
          <w:rFonts w:ascii="Times New Roman" w:hAnsi="Times New Roman"/>
          <w:color w:val="000000" w:themeColor="text1"/>
          <w:sz w:val="20"/>
          <w:szCs w:val="20"/>
        </w:rPr>
        <w:t>, Ю. Данилов Прогноз развития финансовых рынков РФ до 2020 года // Научные труды Фонда «Институт экономической политики им. Е. Т. Гайдара». 2012.</w:t>
      </w:r>
    </w:p>
    <w:p w14:paraId="23433270" w14:textId="77777777" w:rsidR="00F06B33" w:rsidRPr="00212D3A" w:rsidRDefault="00F06B33" w:rsidP="00F06B33">
      <w:pPr>
        <w:pStyle w:val="a7"/>
        <w:numPr>
          <w:ilvl w:val="0"/>
          <w:numId w:val="2"/>
        </w:numPr>
        <w:ind w:left="0" w:firstLine="0"/>
        <w:mirrorIndents/>
        <w:rPr>
          <w:rFonts w:ascii="Times New Roman" w:hAnsi="Times New Roman"/>
          <w:color w:val="000000" w:themeColor="text1"/>
          <w:sz w:val="20"/>
          <w:szCs w:val="20"/>
        </w:rPr>
      </w:pPr>
      <w:r w:rsidRPr="008A1FD1">
        <w:rPr>
          <w:rFonts w:ascii="Times New Roman" w:hAnsi="Times New Roman"/>
          <w:color w:val="000000" w:themeColor="text1"/>
          <w:sz w:val="20"/>
          <w:szCs w:val="20"/>
        </w:rPr>
        <w:t>Мусин А.Р. Экономико-математическая модель прогнозирования динамики финансового рынка // Статистика и экономика. 2018.</w:t>
      </w:r>
    </w:p>
    <w:p w14:paraId="63270D43" w14:textId="5F87ACCC" w:rsidR="00D725D3" w:rsidRDefault="00D725D3" w:rsidP="00F06B33">
      <w:pPr>
        <w:pStyle w:val="a7"/>
        <w:ind w:left="851"/>
        <w:rPr>
          <w:rFonts w:ascii="Times New Roman" w:hAnsi="Times New Roman" w:cs="Times New Roman"/>
          <w:color w:val="000000" w:themeColor="text1"/>
          <w:sz w:val="20"/>
          <w:szCs w:val="20"/>
        </w:rPr>
      </w:pPr>
    </w:p>
    <w:p w14:paraId="72FD0432" w14:textId="6F96D631" w:rsidR="00E97154" w:rsidRDefault="00E97154" w:rsidP="00F06B33">
      <w:pPr>
        <w:pStyle w:val="a7"/>
        <w:ind w:left="851"/>
        <w:rPr>
          <w:rFonts w:ascii="Times New Roman" w:hAnsi="Times New Roman" w:cs="Times New Roman"/>
          <w:color w:val="000000" w:themeColor="text1"/>
          <w:sz w:val="20"/>
          <w:szCs w:val="20"/>
        </w:rPr>
      </w:pPr>
    </w:p>
    <w:p w14:paraId="08A40287" w14:textId="77777777" w:rsidR="00E97154" w:rsidRPr="00E97154" w:rsidRDefault="00E97154" w:rsidP="00E97154">
      <w:pPr>
        <w:rPr>
          <w:color w:val="000000" w:themeColor="text1"/>
          <w:sz w:val="20"/>
          <w:szCs w:val="20"/>
          <w:lang w:val="en-US"/>
        </w:rPr>
      </w:pPr>
    </w:p>
    <w:sectPr w:rsidR="00E97154" w:rsidRPr="00E97154" w:rsidSect="00E41C41">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56D7" w14:textId="77777777" w:rsidR="00651701" w:rsidRDefault="00651701" w:rsidP="00E41C41">
      <w:r>
        <w:separator/>
      </w:r>
    </w:p>
  </w:endnote>
  <w:endnote w:type="continuationSeparator" w:id="0">
    <w:p w14:paraId="5040628A" w14:textId="77777777" w:rsidR="00651701" w:rsidRDefault="00651701" w:rsidP="00E4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195512635"/>
      <w:docPartObj>
        <w:docPartGallery w:val="Page Numbers (Bottom of Page)"/>
        <w:docPartUnique/>
      </w:docPartObj>
    </w:sdtPr>
    <w:sdtEndPr>
      <w:rPr>
        <w:rStyle w:val="aa"/>
      </w:rPr>
    </w:sdtEndPr>
    <w:sdtContent>
      <w:p w14:paraId="6753F1E6" w14:textId="6C104460" w:rsidR="00E41C41" w:rsidRDefault="00E41C41" w:rsidP="003B02EF">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34B38DCE" w14:textId="77777777" w:rsidR="00E41C41" w:rsidRDefault="00E41C41" w:rsidP="00E41C4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369576194"/>
      <w:docPartObj>
        <w:docPartGallery w:val="Page Numbers (Bottom of Page)"/>
        <w:docPartUnique/>
      </w:docPartObj>
    </w:sdtPr>
    <w:sdtEndPr>
      <w:rPr>
        <w:rStyle w:val="aa"/>
      </w:rPr>
    </w:sdtEndPr>
    <w:sdtContent>
      <w:p w14:paraId="220AB154" w14:textId="2739B98B" w:rsidR="00E41C41" w:rsidRDefault="00E41C41" w:rsidP="003B02EF">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432B28">
          <w:rPr>
            <w:rStyle w:val="aa"/>
            <w:noProof/>
          </w:rPr>
          <w:t>1</w:t>
        </w:r>
        <w:r>
          <w:rPr>
            <w:rStyle w:val="aa"/>
          </w:rPr>
          <w:fldChar w:fldCharType="end"/>
        </w:r>
      </w:p>
    </w:sdtContent>
  </w:sdt>
  <w:p w14:paraId="7C92AD2E" w14:textId="77777777" w:rsidR="00E41C41" w:rsidRDefault="00E41C41" w:rsidP="00E41C4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9C11" w14:textId="77777777" w:rsidR="00651701" w:rsidRDefault="00651701" w:rsidP="00E41C41">
      <w:r>
        <w:separator/>
      </w:r>
    </w:p>
  </w:footnote>
  <w:footnote w:type="continuationSeparator" w:id="0">
    <w:p w14:paraId="0027F301" w14:textId="77777777" w:rsidR="00651701" w:rsidRDefault="00651701" w:rsidP="00E41C41">
      <w:r>
        <w:continuationSeparator/>
      </w:r>
    </w:p>
  </w:footnote>
  <w:footnote w:id="1">
    <w:p w14:paraId="27CD85DE" w14:textId="77777777" w:rsidR="00F06B33" w:rsidRPr="008A1FD1" w:rsidRDefault="00F06B33" w:rsidP="00F06B33">
      <w:pPr>
        <w:pStyle w:val="a7"/>
        <w:ind w:left="0"/>
        <w:mirrorIndents/>
        <w:rPr>
          <w:rFonts w:ascii="Times New Roman" w:hAnsi="Times New Roman" w:cs="Times New Roman"/>
          <w:color w:val="000000" w:themeColor="text1"/>
          <w:sz w:val="18"/>
          <w:szCs w:val="18"/>
        </w:rPr>
      </w:pPr>
      <w:r w:rsidRPr="008A1FD1">
        <w:rPr>
          <w:rStyle w:val="af0"/>
          <w:rFonts w:ascii="Times New Roman" w:hAnsi="Times New Roman" w:cs="Times New Roman"/>
          <w:sz w:val="18"/>
          <w:szCs w:val="18"/>
        </w:rPr>
        <w:footnoteRef/>
      </w:r>
      <w:r w:rsidRPr="008A1FD1">
        <w:rPr>
          <w:rFonts w:ascii="Times New Roman" w:hAnsi="Times New Roman" w:cs="Times New Roman"/>
          <w:sz w:val="18"/>
          <w:szCs w:val="18"/>
        </w:rPr>
        <w:t xml:space="preserve"> </w:t>
      </w:r>
      <w:r w:rsidRPr="008A1FD1">
        <w:rPr>
          <w:rFonts w:ascii="Times New Roman" w:hAnsi="Times New Roman" w:cs="Times New Roman"/>
          <w:color w:val="000000" w:themeColor="text1"/>
          <w:sz w:val="18"/>
          <w:szCs w:val="18"/>
        </w:rPr>
        <w:t xml:space="preserve">М.Л. </w:t>
      </w:r>
      <w:proofErr w:type="spellStart"/>
      <w:r w:rsidRPr="008A1FD1">
        <w:rPr>
          <w:rFonts w:ascii="Times New Roman" w:hAnsi="Times New Roman" w:cs="Times New Roman"/>
          <w:color w:val="000000" w:themeColor="text1"/>
          <w:sz w:val="18"/>
          <w:szCs w:val="18"/>
        </w:rPr>
        <w:t>Баталина</w:t>
      </w:r>
      <w:proofErr w:type="spellEnd"/>
      <w:r w:rsidRPr="008A1FD1">
        <w:rPr>
          <w:rFonts w:ascii="Times New Roman" w:hAnsi="Times New Roman" w:cs="Times New Roman"/>
          <w:color w:val="000000" w:themeColor="text1"/>
          <w:sz w:val="18"/>
          <w:szCs w:val="18"/>
        </w:rPr>
        <w:t xml:space="preserve">, Т.В. </w:t>
      </w:r>
      <w:proofErr w:type="spellStart"/>
      <w:r w:rsidRPr="008A1FD1">
        <w:rPr>
          <w:rFonts w:ascii="Times New Roman" w:hAnsi="Times New Roman" w:cs="Times New Roman"/>
          <w:color w:val="000000" w:themeColor="text1"/>
          <w:sz w:val="18"/>
          <w:szCs w:val="18"/>
        </w:rPr>
        <w:t>Бордачев</w:t>
      </w:r>
      <w:proofErr w:type="spellEnd"/>
      <w:r w:rsidRPr="008A1FD1">
        <w:rPr>
          <w:rFonts w:ascii="Times New Roman" w:hAnsi="Times New Roman" w:cs="Times New Roman"/>
          <w:color w:val="000000" w:themeColor="text1"/>
          <w:sz w:val="18"/>
          <w:szCs w:val="18"/>
        </w:rPr>
        <w:t xml:space="preserve">, М.С. Бочкова, и др. Стратегия развития БРИКС и приоритеты для России // Доклад К ХXI Апрельской международной научной конференции по проблемам развития экономики и общества. </w:t>
      </w:r>
    </w:p>
  </w:footnote>
  <w:footnote w:id="2">
    <w:p w14:paraId="129553EB" w14:textId="77777777" w:rsidR="00F06B33" w:rsidRPr="008A1FD1" w:rsidRDefault="00F06B33" w:rsidP="00F06B33">
      <w:pPr>
        <w:pStyle w:val="a7"/>
        <w:ind w:left="0"/>
        <w:mirrorIndents/>
        <w:rPr>
          <w:rFonts w:ascii="Times New Roman" w:hAnsi="Times New Roman" w:cs="Times New Roman"/>
          <w:color w:val="000000" w:themeColor="text1"/>
          <w:sz w:val="18"/>
          <w:szCs w:val="18"/>
        </w:rPr>
      </w:pPr>
      <w:r w:rsidRPr="008A1FD1">
        <w:rPr>
          <w:rStyle w:val="af0"/>
          <w:rFonts w:ascii="Times New Roman" w:hAnsi="Times New Roman" w:cs="Times New Roman"/>
          <w:sz w:val="18"/>
          <w:szCs w:val="18"/>
        </w:rPr>
        <w:footnoteRef/>
      </w:r>
      <w:r w:rsidRPr="008A1FD1">
        <w:rPr>
          <w:rFonts w:ascii="Times New Roman" w:hAnsi="Times New Roman" w:cs="Times New Roman"/>
          <w:sz w:val="18"/>
          <w:szCs w:val="18"/>
        </w:rPr>
        <w:t xml:space="preserve"> </w:t>
      </w:r>
      <w:r w:rsidRPr="008A1FD1">
        <w:rPr>
          <w:rFonts w:ascii="Times New Roman" w:hAnsi="Times New Roman" w:cs="Times New Roman"/>
          <w:color w:val="000000" w:themeColor="text1"/>
          <w:sz w:val="18"/>
          <w:szCs w:val="18"/>
        </w:rPr>
        <w:t xml:space="preserve">Довыденко В.А. Страны БРИКС на мировой арене: анализ и перспективы развития </w:t>
      </w:r>
    </w:p>
  </w:footnote>
  <w:footnote w:id="3">
    <w:p w14:paraId="05C10FAE" w14:textId="7669C1EC" w:rsidR="00F06B33" w:rsidRPr="008A1FD1" w:rsidRDefault="00F06B33" w:rsidP="00F06B33">
      <w:pPr>
        <w:pStyle w:val="a7"/>
        <w:ind w:left="0"/>
        <w:mirrorIndents/>
        <w:rPr>
          <w:rFonts w:ascii="Times New Roman" w:hAnsi="Times New Roman" w:cs="Times New Roman"/>
          <w:color w:val="000000" w:themeColor="text1"/>
          <w:sz w:val="18"/>
          <w:szCs w:val="18"/>
        </w:rPr>
      </w:pPr>
      <w:r w:rsidRPr="008A1FD1">
        <w:rPr>
          <w:rStyle w:val="af0"/>
          <w:rFonts w:ascii="Times New Roman" w:hAnsi="Times New Roman" w:cs="Times New Roman"/>
          <w:sz w:val="18"/>
          <w:szCs w:val="18"/>
        </w:rPr>
        <w:footnoteRef/>
      </w:r>
      <w:r w:rsidRPr="008A1FD1">
        <w:rPr>
          <w:rFonts w:ascii="Times New Roman" w:hAnsi="Times New Roman" w:cs="Times New Roman"/>
          <w:sz w:val="18"/>
          <w:szCs w:val="18"/>
        </w:rPr>
        <w:t xml:space="preserve"> </w:t>
      </w:r>
      <w:proofErr w:type="spellStart"/>
      <w:r w:rsidRPr="008A1FD1">
        <w:rPr>
          <w:rFonts w:ascii="Times New Roman" w:hAnsi="Times New Roman" w:cs="Times New Roman"/>
          <w:color w:val="000000" w:themeColor="text1"/>
          <w:sz w:val="18"/>
          <w:szCs w:val="18"/>
        </w:rPr>
        <w:t>Друзин</w:t>
      </w:r>
      <w:proofErr w:type="spellEnd"/>
      <w:r w:rsidRPr="008A1FD1">
        <w:rPr>
          <w:rFonts w:ascii="Times New Roman" w:hAnsi="Times New Roman" w:cs="Times New Roman"/>
          <w:color w:val="000000" w:themeColor="text1"/>
          <w:sz w:val="18"/>
          <w:szCs w:val="18"/>
        </w:rPr>
        <w:t xml:space="preserve"> Р.В., </w:t>
      </w:r>
      <w:proofErr w:type="spellStart"/>
      <w:r w:rsidRPr="008A1FD1">
        <w:rPr>
          <w:rFonts w:ascii="Times New Roman" w:hAnsi="Times New Roman" w:cs="Times New Roman"/>
          <w:color w:val="000000" w:themeColor="text1"/>
          <w:sz w:val="18"/>
          <w:szCs w:val="18"/>
        </w:rPr>
        <w:t>Барсегян</w:t>
      </w:r>
      <w:proofErr w:type="spellEnd"/>
      <w:r w:rsidRPr="008A1FD1">
        <w:rPr>
          <w:rFonts w:ascii="Times New Roman" w:hAnsi="Times New Roman" w:cs="Times New Roman"/>
          <w:color w:val="000000" w:themeColor="text1"/>
          <w:sz w:val="18"/>
          <w:szCs w:val="18"/>
        </w:rPr>
        <w:t xml:space="preserve"> А.Г., Науменко Р.В. Состояние финансовых рынков стран БРИКС в условиях глобальной экономической нестабильности // Ученые записки Крымского федерального университета имени В. И. Вернадского. Экономика и управление.</w:t>
      </w:r>
    </w:p>
  </w:footnote>
  <w:footnote w:id="4">
    <w:p w14:paraId="5A832741" w14:textId="77777777" w:rsidR="00F06B33" w:rsidRPr="008A1FD1" w:rsidRDefault="00F06B33" w:rsidP="00F06B33">
      <w:pPr>
        <w:pStyle w:val="a7"/>
        <w:ind w:left="0"/>
        <w:mirrorIndents/>
        <w:rPr>
          <w:rFonts w:ascii="Times New Roman" w:hAnsi="Times New Roman" w:cs="Times New Roman"/>
          <w:color w:val="000000" w:themeColor="text1"/>
          <w:sz w:val="18"/>
          <w:szCs w:val="18"/>
        </w:rPr>
      </w:pPr>
      <w:r w:rsidRPr="008A1FD1">
        <w:rPr>
          <w:rStyle w:val="af0"/>
          <w:rFonts w:ascii="Times New Roman" w:hAnsi="Times New Roman" w:cs="Times New Roman"/>
          <w:sz w:val="18"/>
          <w:szCs w:val="18"/>
        </w:rPr>
        <w:footnoteRef/>
      </w:r>
      <w:r w:rsidRPr="008A1FD1">
        <w:rPr>
          <w:rFonts w:ascii="Times New Roman" w:hAnsi="Times New Roman" w:cs="Times New Roman"/>
          <w:sz w:val="18"/>
          <w:szCs w:val="18"/>
        </w:rPr>
        <w:t xml:space="preserve"> </w:t>
      </w:r>
      <w:r w:rsidRPr="008A1FD1">
        <w:rPr>
          <w:rFonts w:ascii="Times New Roman" w:hAnsi="Times New Roman" w:cs="Times New Roman"/>
          <w:color w:val="000000" w:themeColor="text1"/>
          <w:sz w:val="18"/>
          <w:szCs w:val="18"/>
        </w:rPr>
        <w:t xml:space="preserve">Михайлова Е.В., Горбунова О.А. Сравнительная характеристика финансовых рынков стран БРИКС // Вестник евразийской науки. </w:t>
      </w:r>
    </w:p>
  </w:footnote>
  <w:footnote w:id="5">
    <w:p w14:paraId="7485C66C" w14:textId="77777777" w:rsidR="00F06B33" w:rsidRPr="008A1FD1" w:rsidRDefault="00F06B33" w:rsidP="00F06B33">
      <w:pPr>
        <w:pStyle w:val="a7"/>
        <w:ind w:left="0"/>
        <w:mirrorIndents/>
        <w:rPr>
          <w:rFonts w:ascii="Times New Roman" w:hAnsi="Times New Roman" w:cs="Times New Roman"/>
          <w:color w:val="000000" w:themeColor="text1"/>
          <w:sz w:val="18"/>
          <w:szCs w:val="18"/>
        </w:rPr>
      </w:pPr>
      <w:r w:rsidRPr="008A1FD1">
        <w:rPr>
          <w:rStyle w:val="af0"/>
          <w:rFonts w:ascii="Times New Roman" w:hAnsi="Times New Roman" w:cs="Times New Roman"/>
          <w:sz w:val="18"/>
          <w:szCs w:val="18"/>
        </w:rPr>
        <w:footnoteRef/>
      </w:r>
      <w:r w:rsidRPr="008A1FD1">
        <w:rPr>
          <w:rFonts w:ascii="Times New Roman" w:hAnsi="Times New Roman" w:cs="Times New Roman"/>
          <w:sz w:val="18"/>
          <w:szCs w:val="18"/>
        </w:rPr>
        <w:t xml:space="preserve"> </w:t>
      </w:r>
      <w:r w:rsidRPr="008A1FD1">
        <w:rPr>
          <w:rFonts w:ascii="Times New Roman" w:hAnsi="Times New Roman" w:cs="Times New Roman"/>
          <w:color w:val="000000" w:themeColor="text1"/>
          <w:sz w:val="18"/>
          <w:szCs w:val="18"/>
        </w:rPr>
        <w:t xml:space="preserve">А. </w:t>
      </w:r>
      <w:proofErr w:type="spellStart"/>
      <w:r w:rsidRPr="008A1FD1">
        <w:rPr>
          <w:rFonts w:ascii="Times New Roman" w:hAnsi="Times New Roman" w:cs="Times New Roman"/>
          <w:color w:val="000000" w:themeColor="text1"/>
          <w:sz w:val="18"/>
          <w:szCs w:val="18"/>
        </w:rPr>
        <w:t>Ведев</w:t>
      </w:r>
      <w:proofErr w:type="spellEnd"/>
      <w:r w:rsidRPr="008A1FD1">
        <w:rPr>
          <w:rFonts w:ascii="Times New Roman" w:hAnsi="Times New Roman" w:cs="Times New Roman"/>
          <w:color w:val="000000" w:themeColor="text1"/>
          <w:sz w:val="18"/>
          <w:szCs w:val="18"/>
        </w:rPr>
        <w:t xml:space="preserve">, Ю. Данилов Прогноз развития финансовых рынков РФ до 2020 года // Научные труды Фонда «Институт экономической политики им. Е. Т. Гайдара». </w:t>
      </w:r>
    </w:p>
  </w:footnote>
  <w:footnote w:id="6">
    <w:p w14:paraId="4B1A06F5" w14:textId="549D1CFF" w:rsidR="00F06B33" w:rsidRPr="005F7EB5" w:rsidRDefault="00F06B33" w:rsidP="00F06B33">
      <w:pPr>
        <w:pStyle w:val="a7"/>
        <w:ind w:left="0"/>
        <w:mirrorIndents/>
        <w:rPr>
          <w:rFonts w:ascii="Times New Roman" w:hAnsi="Times New Roman" w:cs="Times New Roman"/>
          <w:color w:val="000000" w:themeColor="text1"/>
          <w:sz w:val="18"/>
          <w:szCs w:val="18"/>
        </w:rPr>
      </w:pPr>
      <w:r w:rsidRPr="008A1FD1">
        <w:rPr>
          <w:rStyle w:val="af0"/>
          <w:rFonts w:ascii="Times New Roman" w:hAnsi="Times New Roman" w:cs="Times New Roman"/>
          <w:sz w:val="18"/>
          <w:szCs w:val="18"/>
        </w:rPr>
        <w:footnoteRef/>
      </w:r>
      <w:r w:rsidRPr="008A1FD1">
        <w:rPr>
          <w:rFonts w:ascii="Times New Roman" w:hAnsi="Times New Roman" w:cs="Times New Roman"/>
          <w:sz w:val="18"/>
          <w:szCs w:val="18"/>
        </w:rPr>
        <w:t xml:space="preserve"> </w:t>
      </w:r>
      <w:r w:rsidRPr="008A1FD1">
        <w:rPr>
          <w:rFonts w:ascii="Times New Roman" w:hAnsi="Times New Roman" w:cs="Times New Roman"/>
          <w:color w:val="000000" w:themeColor="text1"/>
          <w:sz w:val="18"/>
          <w:szCs w:val="18"/>
        </w:rPr>
        <w:t xml:space="preserve">Мусин А.Р. Экономико-математическая модель прогнозирования динамики финансового рынка // Статистика и экономика. </w:t>
      </w:r>
    </w:p>
    <w:p w14:paraId="4089CA3B" w14:textId="77777777" w:rsidR="00F06B33" w:rsidRDefault="00F06B33" w:rsidP="00F06B33">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715"/>
    <w:multiLevelType w:val="hybridMultilevel"/>
    <w:tmpl w:val="0950A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1505E5"/>
    <w:multiLevelType w:val="hybridMultilevel"/>
    <w:tmpl w:val="C8086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0040EF"/>
    <w:multiLevelType w:val="multilevel"/>
    <w:tmpl w:val="C4A6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7B"/>
    <w:rsid w:val="000A3D87"/>
    <w:rsid w:val="000A6E33"/>
    <w:rsid w:val="000E45F5"/>
    <w:rsid w:val="000F376A"/>
    <w:rsid w:val="00112B42"/>
    <w:rsid w:val="00154D39"/>
    <w:rsid w:val="00185B07"/>
    <w:rsid w:val="0021097B"/>
    <w:rsid w:val="00266753"/>
    <w:rsid w:val="00273543"/>
    <w:rsid w:val="00277874"/>
    <w:rsid w:val="002F24D8"/>
    <w:rsid w:val="0035683E"/>
    <w:rsid w:val="0038289A"/>
    <w:rsid w:val="00392572"/>
    <w:rsid w:val="003D05A6"/>
    <w:rsid w:val="00400707"/>
    <w:rsid w:val="00432B28"/>
    <w:rsid w:val="004B6F6A"/>
    <w:rsid w:val="00534F65"/>
    <w:rsid w:val="005451F7"/>
    <w:rsid w:val="005702B1"/>
    <w:rsid w:val="005F7EB5"/>
    <w:rsid w:val="00606C39"/>
    <w:rsid w:val="00607CF5"/>
    <w:rsid w:val="006430BD"/>
    <w:rsid w:val="00651701"/>
    <w:rsid w:val="0068229A"/>
    <w:rsid w:val="006B1DFD"/>
    <w:rsid w:val="007A329F"/>
    <w:rsid w:val="007F10CD"/>
    <w:rsid w:val="007F7839"/>
    <w:rsid w:val="0084519D"/>
    <w:rsid w:val="008A7AFC"/>
    <w:rsid w:val="008B6898"/>
    <w:rsid w:val="008D4E72"/>
    <w:rsid w:val="009005B5"/>
    <w:rsid w:val="009A7053"/>
    <w:rsid w:val="009C5D70"/>
    <w:rsid w:val="00A00804"/>
    <w:rsid w:val="00A7393E"/>
    <w:rsid w:val="00B20DD0"/>
    <w:rsid w:val="00B35796"/>
    <w:rsid w:val="00BF52AE"/>
    <w:rsid w:val="00CA6CB2"/>
    <w:rsid w:val="00CB40E3"/>
    <w:rsid w:val="00CC7394"/>
    <w:rsid w:val="00CD01B2"/>
    <w:rsid w:val="00D45550"/>
    <w:rsid w:val="00D55855"/>
    <w:rsid w:val="00D725D3"/>
    <w:rsid w:val="00D75FF1"/>
    <w:rsid w:val="00E03519"/>
    <w:rsid w:val="00E41C41"/>
    <w:rsid w:val="00E43D39"/>
    <w:rsid w:val="00E757FE"/>
    <w:rsid w:val="00E9373A"/>
    <w:rsid w:val="00E97154"/>
    <w:rsid w:val="00ED0C77"/>
    <w:rsid w:val="00EE4366"/>
    <w:rsid w:val="00F06B33"/>
    <w:rsid w:val="00FC2EB9"/>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9FC8"/>
  <w15:chartTrackingRefBased/>
  <w15:docId w15:val="{FC259BD9-4EE3-FC41-900E-E57C11EE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5D3"/>
    <w:rPr>
      <w:rFonts w:ascii="Times New Roman" w:eastAsia="Times New Roman" w:hAnsi="Times New Roman" w:cs="Times New Roman"/>
      <w:lang w:eastAsia="ru-RU"/>
    </w:rPr>
  </w:style>
  <w:style w:type="paragraph" w:styleId="1">
    <w:name w:val="heading 1"/>
    <w:basedOn w:val="a"/>
    <w:link w:val="10"/>
    <w:uiPriority w:val="9"/>
    <w:qFormat/>
    <w:rsid w:val="00112B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97B"/>
    <w:pPr>
      <w:spacing w:before="100" w:beforeAutospacing="1" w:after="100" w:afterAutospacing="1"/>
    </w:pPr>
  </w:style>
  <w:style w:type="character" w:styleId="a4">
    <w:name w:val="Strong"/>
    <w:basedOn w:val="a0"/>
    <w:uiPriority w:val="22"/>
    <w:qFormat/>
    <w:rsid w:val="0021097B"/>
    <w:rPr>
      <w:b/>
      <w:bCs/>
    </w:rPr>
  </w:style>
  <w:style w:type="character" w:styleId="a5">
    <w:name w:val="Emphasis"/>
    <w:basedOn w:val="a0"/>
    <w:uiPriority w:val="20"/>
    <w:qFormat/>
    <w:rsid w:val="0021097B"/>
    <w:rPr>
      <w:i/>
      <w:iCs/>
    </w:rPr>
  </w:style>
  <w:style w:type="character" w:styleId="a6">
    <w:name w:val="Hyperlink"/>
    <w:basedOn w:val="a0"/>
    <w:uiPriority w:val="99"/>
    <w:unhideWhenUsed/>
    <w:rsid w:val="0021097B"/>
    <w:rPr>
      <w:color w:val="0000FF"/>
      <w:u w:val="single"/>
    </w:rPr>
  </w:style>
  <w:style w:type="paragraph" w:styleId="a7">
    <w:name w:val="List Paragraph"/>
    <w:basedOn w:val="a"/>
    <w:uiPriority w:val="34"/>
    <w:qFormat/>
    <w:rsid w:val="000A3D87"/>
    <w:pPr>
      <w:ind w:left="720"/>
      <w:contextualSpacing/>
    </w:pPr>
    <w:rPr>
      <w:rFonts w:asciiTheme="minorHAnsi" w:eastAsiaTheme="minorHAnsi" w:hAnsiTheme="minorHAnsi" w:cstheme="minorBidi"/>
      <w:lang w:eastAsia="en-US"/>
    </w:rPr>
  </w:style>
  <w:style w:type="character" w:customStyle="1" w:styleId="11">
    <w:name w:val="Неразрешенное упоминание1"/>
    <w:basedOn w:val="a0"/>
    <w:uiPriority w:val="99"/>
    <w:semiHidden/>
    <w:unhideWhenUsed/>
    <w:rsid w:val="000A3D87"/>
    <w:rPr>
      <w:color w:val="605E5C"/>
      <w:shd w:val="clear" w:color="auto" w:fill="E1DFDD"/>
    </w:rPr>
  </w:style>
  <w:style w:type="character" w:customStyle="1" w:styleId="10">
    <w:name w:val="Заголовок 1 Знак"/>
    <w:basedOn w:val="a0"/>
    <w:link w:val="1"/>
    <w:uiPriority w:val="9"/>
    <w:rsid w:val="00112B42"/>
    <w:rPr>
      <w:rFonts w:ascii="Times New Roman" w:eastAsia="Times New Roman" w:hAnsi="Times New Roman" w:cs="Times New Roman"/>
      <w:b/>
      <w:bCs/>
      <w:kern w:val="36"/>
      <w:sz w:val="48"/>
      <w:szCs w:val="48"/>
      <w:lang w:eastAsia="ru-RU"/>
    </w:rPr>
  </w:style>
  <w:style w:type="paragraph" w:styleId="a8">
    <w:name w:val="footer"/>
    <w:basedOn w:val="a"/>
    <w:link w:val="a9"/>
    <w:uiPriority w:val="99"/>
    <w:unhideWhenUsed/>
    <w:rsid w:val="00E41C41"/>
    <w:pPr>
      <w:tabs>
        <w:tab w:val="center" w:pos="4677"/>
        <w:tab w:val="right" w:pos="9355"/>
      </w:tabs>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E41C41"/>
  </w:style>
  <w:style w:type="character" w:styleId="aa">
    <w:name w:val="page number"/>
    <w:basedOn w:val="a0"/>
    <w:uiPriority w:val="99"/>
    <w:semiHidden/>
    <w:unhideWhenUsed/>
    <w:rsid w:val="00E41C41"/>
  </w:style>
  <w:style w:type="paragraph" w:styleId="ab">
    <w:name w:val="header"/>
    <w:basedOn w:val="a"/>
    <w:link w:val="ac"/>
    <w:uiPriority w:val="99"/>
    <w:unhideWhenUsed/>
    <w:rsid w:val="00E9373A"/>
    <w:pPr>
      <w:tabs>
        <w:tab w:val="center" w:pos="4677"/>
        <w:tab w:val="right" w:pos="9355"/>
      </w:tabs>
    </w:pPr>
    <w:rPr>
      <w:rFonts w:asciiTheme="minorHAnsi" w:eastAsiaTheme="minorHAnsi" w:hAnsiTheme="minorHAnsi" w:cstheme="minorBidi"/>
      <w:lang w:eastAsia="en-US"/>
    </w:rPr>
  </w:style>
  <w:style w:type="character" w:customStyle="1" w:styleId="ac">
    <w:name w:val="Верхний колонтитул Знак"/>
    <w:basedOn w:val="a0"/>
    <w:link w:val="ab"/>
    <w:uiPriority w:val="99"/>
    <w:rsid w:val="00E9373A"/>
  </w:style>
  <w:style w:type="character" w:styleId="ad">
    <w:name w:val="Unresolved Mention"/>
    <w:basedOn w:val="a0"/>
    <w:uiPriority w:val="99"/>
    <w:semiHidden/>
    <w:unhideWhenUsed/>
    <w:rsid w:val="005451F7"/>
    <w:rPr>
      <w:color w:val="605E5C"/>
      <w:shd w:val="clear" w:color="auto" w:fill="E1DFDD"/>
    </w:rPr>
  </w:style>
  <w:style w:type="paragraph" w:styleId="ae">
    <w:name w:val="footnote text"/>
    <w:basedOn w:val="a"/>
    <w:link w:val="af"/>
    <w:rsid w:val="007F10CD"/>
    <w:rPr>
      <w:sz w:val="20"/>
      <w:szCs w:val="20"/>
    </w:rPr>
  </w:style>
  <w:style w:type="character" w:customStyle="1" w:styleId="af">
    <w:name w:val="Текст сноски Знак"/>
    <w:basedOn w:val="a0"/>
    <w:link w:val="ae"/>
    <w:rsid w:val="007F10CD"/>
    <w:rPr>
      <w:rFonts w:ascii="Times New Roman" w:eastAsia="Times New Roman" w:hAnsi="Times New Roman" w:cs="Times New Roman"/>
      <w:sz w:val="20"/>
      <w:szCs w:val="20"/>
      <w:lang w:eastAsia="ru-RU"/>
    </w:rPr>
  </w:style>
  <w:style w:type="character" w:styleId="af0">
    <w:name w:val="footnote reference"/>
    <w:rsid w:val="007F10CD"/>
    <w:rPr>
      <w:vertAlign w:val="superscript"/>
    </w:rPr>
  </w:style>
  <w:style w:type="paragraph" w:styleId="af1">
    <w:name w:val="caption"/>
    <w:basedOn w:val="a"/>
    <w:next w:val="a"/>
    <w:uiPriority w:val="35"/>
    <w:unhideWhenUsed/>
    <w:qFormat/>
    <w:rsid w:val="007F10CD"/>
    <w:pPr>
      <w:spacing w:after="200"/>
    </w:pPr>
    <w:rPr>
      <w:rFonts w:asciiTheme="minorHAnsi" w:eastAsiaTheme="minorHAnsi" w:hAnsiTheme="minorHAnsi" w:cstheme="minorBidi"/>
      <w:b/>
      <w:bCs/>
      <w:color w:val="4472C4" w:themeColor="accent1"/>
      <w:sz w:val="18"/>
      <w:szCs w:val="18"/>
      <w:lang w:eastAsia="en-US"/>
    </w:rPr>
  </w:style>
  <w:style w:type="character" w:styleId="af2">
    <w:name w:val="FollowedHyperlink"/>
    <w:basedOn w:val="a0"/>
    <w:uiPriority w:val="99"/>
    <w:semiHidden/>
    <w:unhideWhenUsed/>
    <w:rsid w:val="00F06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272">
      <w:bodyDiv w:val="1"/>
      <w:marLeft w:val="0"/>
      <w:marRight w:val="0"/>
      <w:marTop w:val="0"/>
      <w:marBottom w:val="0"/>
      <w:divBdr>
        <w:top w:val="none" w:sz="0" w:space="0" w:color="auto"/>
        <w:left w:val="none" w:sz="0" w:space="0" w:color="auto"/>
        <w:bottom w:val="none" w:sz="0" w:space="0" w:color="auto"/>
        <w:right w:val="none" w:sz="0" w:space="0" w:color="auto"/>
      </w:divBdr>
    </w:div>
    <w:div w:id="152844014">
      <w:bodyDiv w:val="1"/>
      <w:marLeft w:val="0"/>
      <w:marRight w:val="0"/>
      <w:marTop w:val="0"/>
      <w:marBottom w:val="0"/>
      <w:divBdr>
        <w:top w:val="none" w:sz="0" w:space="0" w:color="auto"/>
        <w:left w:val="none" w:sz="0" w:space="0" w:color="auto"/>
        <w:bottom w:val="none" w:sz="0" w:space="0" w:color="auto"/>
        <w:right w:val="none" w:sz="0" w:space="0" w:color="auto"/>
      </w:divBdr>
      <w:divsChild>
        <w:div w:id="1475029766">
          <w:marLeft w:val="0"/>
          <w:marRight w:val="0"/>
          <w:marTop w:val="0"/>
          <w:marBottom w:val="0"/>
          <w:divBdr>
            <w:top w:val="none" w:sz="0" w:space="0" w:color="auto"/>
            <w:left w:val="none" w:sz="0" w:space="0" w:color="auto"/>
            <w:bottom w:val="none" w:sz="0" w:space="0" w:color="auto"/>
            <w:right w:val="none" w:sz="0" w:space="0" w:color="auto"/>
          </w:divBdr>
          <w:divsChild>
            <w:div w:id="725955443">
              <w:marLeft w:val="0"/>
              <w:marRight w:val="0"/>
              <w:marTop w:val="0"/>
              <w:marBottom w:val="0"/>
              <w:divBdr>
                <w:top w:val="none" w:sz="0" w:space="0" w:color="auto"/>
                <w:left w:val="none" w:sz="0" w:space="0" w:color="auto"/>
                <w:bottom w:val="none" w:sz="0" w:space="0" w:color="auto"/>
                <w:right w:val="none" w:sz="0" w:space="0" w:color="auto"/>
              </w:divBdr>
              <w:divsChild>
                <w:div w:id="3554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4172">
      <w:bodyDiv w:val="1"/>
      <w:marLeft w:val="0"/>
      <w:marRight w:val="0"/>
      <w:marTop w:val="0"/>
      <w:marBottom w:val="0"/>
      <w:divBdr>
        <w:top w:val="none" w:sz="0" w:space="0" w:color="auto"/>
        <w:left w:val="none" w:sz="0" w:space="0" w:color="auto"/>
        <w:bottom w:val="none" w:sz="0" w:space="0" w:color="auto"/>
        <w:right w:val="none" w:sz="0" w:space="0" w:color="auto"/>
      </w:divBdr>
    </w:div>
    <w:div w:id="593826281">
      <w:bodyDiv w:val="1"/>
      <w:marLeft w:val="0"/>
      <w:marRight w:val="0"/>
      <w:marTop w:val="0"/>
      <w:marBottom w:val="0"/>
      <w:divBdr>
        <w:top w:val="none" w:sz="0" w:space="0" w:color="auto"/>
        <w:left w:val="none" w:sz="0" w:space="0" w:color="auto"/>
        <w:bottom w:val="none" w:sz="0" w:space="0" w:color="auto"/>
        <w:right w:val="none" w:sz="0" w:space="0" w:color="auto"/>
      </w:divBdr>
    </w:div>
    <w:div w:id="619725124">
      <w:bodyDiv w:val="1"/>
      <w:marLeft w:val="0"/>
      <w:marRight w:val="0"/>
      <w:marTop w:val="0"/>
      <w:marBottom w:val="0"/>
      <w:divBdr>
        <w:top w:val="none" w:sz="0" w:space="0" w:color="auto"/>
        <w:left w:val="none" w:sz="0" w:space="0" w:color="auto"/>
        <w:bottom w:val="none" w:sz="0" w:space="0" w:color="auto"/>
        <w:right w:val="none" w:sz="0" w:space="0" w:color="auto"/>
      </w:divBdr>
    </w:div>
    <w:div w:id="644621571">
      <w:bodyDiv w:val="1"/>
      <w:marLeft w:val="0"/>
      <w:marRight w:val="0"/>
      <w:marTop w:val="0"/>
      <w:marBottom w:val="0"/>
      <w:divBdr>
        <w:top w:val="none" w:sz="0" w:space="0" w:color="auto"/>
        <w:left w:val="none" w:sz="0" w:space="0" w:color="auto"/>
        <w:bottom w:val="none" w:sz="0" w:space="0" w:color="auto"/>
        <w:right w:val="none" w:sz="0" w:space="0" w:color="auto"/>
      </w:divBdr>
    </w:div>
    <w:div w:id="895555754">
      <w:bodyDiv w:val="1"/>
      <w:marLeft w:val="0"/>
      <w:marRight w:val="0"/>
      <w:marTop w:val="0"/>
      <w:marBottom w:val="0"/>
      <w:divBdr>
        <w:top w:val="none" w:sz="0" w:space="0" w:color="auto"/>
        <w:left w:val="none" w:sz="0" w:space="0" w:color="auto"/>
        <w:bottom w:val="none" w:sz="0" w:space="0" w:color="auto"/>
        <w:right w:val="none" w:sz="0" w:space="0" w:color="auto"/>
      </w:divBdr>
    </w:div>
    <w:div w:id="1623419784">
      <w:bodyDiv w:val="1"/>
      <w:marLeft w:val="0"/>
      <w:marRight w:val="0"/>
      <w:marTop w:val="0"/>
      <w:marBottom w:val="0"/>
      <w:divBdr>
        <w:top w:val="none" w:sz="0" w:space="0" w:color="auto"/>
        <w:left w:val="none" w:sz="0" w:space="0" w:color="auto"/>
        <w:bottom w:val="none" w:sz="0" w:space="0" w:color="auto"/>
        <w:right w:val="none" w:sz="0" w:space="0" w:color="auto"/>
      </w:divBdr>
      <w:divsChild>
        <w:div w:id="1414543730">
          <w:marLeft w:val="0"/>
          <w:marRight w:val="0"/>
          <w:marTop w:val="0"/>
          <w:marBottom w:val="0"/>
          <w:divBdr>
            <w:top w:val="none" w:sz="0" w:space="0" w:color="auto"/>
            <w:left w:val="none" w:sz="0" w:space="0" w:color="auto"/>
            <w:bottom w:val="none" w:sz="0" w:space="0" w:color="auto"/>
            <w:right w:val="none" w:sz="0" w:space="0" w:color="auto"/>
          </w:divBdr>
          <w:divsChild>
            <w:div w:id="539897277">
              <w:marLeft w:val="0"/>
              <w:marRight w:val="0"/>
              <w:marTop w:val="0"/>
              <w:marBottom w:val="0"/>
              <w:divBdr>
                <w:top w:val="none" w:sz="0" w:space="0" w:color="auto"/>
                <w:left w:val="none" w:sz="0" w:space="0" w:color="auto"/>
                <w:bottom w:val="none" w:sz="0" w:space="0" w:color="auto"/>
                <w:right w:val="none" w:sz="0" w:space="0" w:color="auto"/>
              </w:divBdr>
              <w:divsChild>
                <w:div w:id="18412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0413">
      <w:bodyDiv w:val="1"/>
      <w:marLeft w:val="0"/>
      <w:marRight w:val="0"/>
      <w:marTop w:val="0"/>
      <w:marBottom w:val="0"/>
      <w:divBdr>
        <w:top w:val="none" w:sz="0" w:space="0" w:color="auto"/>
        <w:left w:val="none" w:sz="0" w:space="0" w:color="auto"/>
        <w:bottom w:val="none" w:sz="0" w:space="0" w:color="auto"/>
        <w:right w:val="none" w:sz="0" w:space="0" w:color="auto"/>
      </w:divBdr>
    </w:div>
    <w:div w:id="18195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A4DF-314E-45E2-98F8-B662F841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5322</Characters>
  <Application>Microsoft Office Word</Application>
  <DocSecurity>0</DocSecurity>
  <Lines>80</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2021-11-23T14:42:00Z</dcterms:created>
  <dcterms:modified xsi:type="dcterms:W3CDTF">2021-11-23T14:42:00Z</dcterms:modified>
</cp:coreProperties>
</file>