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B329" w14:textId="1679593C" w:rsidR="00355A34" w:rsidRDefault="00355A34" w:rsidP="00355A3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Направление «Фирмы и рынки»</w:t>
      </w:r>
    </w:p>
    <w:p w14:paraId="48611865" w14:textId="77777777" w:rsidR="00355A34" w:rsidRPr="00355A34" w:rsidRDefault="00355A34" w:rsidP="00355A3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41C1D83" w14:textId="5AF4E7AD" w:rsidR="00A436C1" w:rsidRPr="00CA31C7" w:rsidRDefault="00070484" w:rsidP="00355A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484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протекционизма в антимонопольном регулировании </w:t>
      </w:r>
    </w:p>
    <w:p w14:paraId="52E4E866" w14:textId="77777777" w:rsidR="00070484" w:rsidRDefault="00070484" w:rsidP="005374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634C9" w14:textId="32C87687" w:rsidR="00355A34" w:rsidRDefault="00355A34" w:rsidP="0053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34">
        <w:rPr>
          <w:rFonts w:ascii="Times New Roman" w:hAnsi="Times New Roman" w:cs="Times New Roman"/>
          <w:b/>
          <w:bCs/>
          <w:sz w:val="24"/>
          <w:szCs w:val="24"/>
        </w:rPr>
        <w:t>Мелешкина Анна Игоревна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00F606" w14:textId="2F75F93D" w:rsidR="00355A34" w:rsidRDefault="00355A34" w:rsidP="0053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сотрудник Центра исследований конкуренции и экономического регулирования</w:t>
      </w:r>
      <w:r w:rsidR="00EB46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18003" w14:textId="77777777" w:rsidR="00EB4685" w:rsidRPr="00EB4685" w:rsidRDefault="00EB4685" w:rsidP="00EB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85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РФ</w:t>
      </w:r>
    </w:p>
    <w:p w14:paraId="7838C1D6" w14:textId="77777777" w:rsidR="00EB4685" w:rsidRPr="00EB4685" w:rsidRDefault="00EB4685" w:rsidP="00EB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2D723" w14:textId="77777777" w:rsidR="003B0605" w:rsidRDefault="003B0605" w:rsidP="003B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34">
        <w:rPr>
          <w:rFonts w:ascii="Times New Roman" w:hAnsi="Times New Roman" w:cs="Times New Roman"/>
          <w:b/>
          <w:bCs/>
          <w:sz w:val="24"/>
          <w:szCs w:val="24"/>
        </w:rPr>
        <w:t>Маркова Ольга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24222B" w14:textId="109530D1" w:rsidR="003B0605" w:rsidRDefault="003B0605" w:rsidP="003B0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научный сотрудник Центра исследований конкуренции и экономического регулирования</w:t>
      </w:r>
      <w:r w:rsidR="00EB4685">
        <w:rPr>
          <w:rFonts w:ascii="Times New Roman" w:hAnsi="Times New Roman" w:cs="Times New Roman"/>
          <w:sz w:val="24"/>
          <w:szCs w:val="24"/>
        </w:rPr>
        <w:t>,</w:t>
      </w:r>
    </w:p>
    <w:p w14:paraId="7155D725" w14:textId="77777777" w:rsidR="00EB4685" w:rsidRPr="00EB4685" w:rsidRDefault="00EB4685" w:rsidP="00EB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85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РФ</w:t>
      </w:r>
    </w:p>
    <w:p w14:paraId="6BB151FA" w14:textId="77777777" w:rsidR="003B0605" w:rsidRDefault="003B0605" w:rsidP="00537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7F50E" w14:textId="303A78D8" w:rsidR="00355A34" w:rsidRDefault="00355A34" w:rsidP="00355A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9FD5B" w14:textId="5F15230B" w:rsidR="00070484" w:rsidRDefault="0094592F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1E247A">
        <w:rPr>
          <w:rFonts w:ascii="Times New Roman" w:hAnsi="Times New Roman" w:cs="Times New Roman"/>
          <w:sz w:val="24"/>
          <w:szCs w:val="24"/>
        </w:rPr>
        <w:t>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E247A">
        <w:rPr>
          <w:rFonts w:ascii="Times New Roman" w:hAnsi="Times New Roman" w:cs="Times New Roman"/>
          <w:sz w:val="24"/>
          <w:szCs w:val="24"/>
        </w:rPr>
        <w:t xml:space="preserve"> антимонопольн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1E247A">
        <w:rPr>
          <w:rFonts w:ascii="Times New Roman" w:hAnsi="Times New Roman" w:cs="Times New Roman"/>
          <w:sz w:val="24"/>
          <w:szCs w:val="24"/>
        </w:rPr>
        <w:t>практик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247A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6F05FD">
        <w:rPr>
          <w:rFonts w:ascii="Times New Roman" w:hAnsi="Times New Roman" w:cs="Times New Roman"/>
          <w:sz w:val="24"/>
          <w:szCs w:val="24"/>
        </w:rPr>
        <w:t>товарных</w:t>
      </w:r>
      <w:r w:rsidR="001E247A">
        <w:rPr>
          <w:rFonts w:ascii="Times New Roman" w:hAnsi="Times New Roman" w:cs="Times New Roman"/>
          <w:sz w:val="24"/>
          <w:szCs w:val="24"/>
        </w:rPr>
        <w:t xml:space="preserve"> рынков</w:t>
      </w:r>
      <w:r>
        <w:rPr>
          <w:rFonts w:ascii="Times New Roman" w:hAnsi="Times New Roman" w:cs="Times New Roman"/>
          <w:sz w:val="24"/>
          <w:szCs w:val="24"/>
        </w:rPr>
        <w:t xml:space="preserve"> сложилась традиция использования узкого подхода </w:t>
      </w:r>
      <w:r w:rsidR="0022114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22114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географических границ – границы товарного рынка в большинстве случаев определяются как границы Российской Федерации. Такой подход исключает из рассмотрения условий конкуренции возможности потребителей переключаться между продукцией отечественного и импортного происхождения.  </w:t>
      </w:r>
      <w:r w:rsidR="0067469E">
        <w:rPr>
          <w:rFonts w:ascii="Times New Roman" w:hAnsi="Times New Roman" w:cs="Times New Roman"/>
          <w:sz w:val="24"/>
          <w:szCs w:val="24"/>
        </w:rPr>
        <w:t xml:space="preserve">А в тех случаях, когда импорт составляет значительную часть объемов потребления на внутреннем рынке, ФАС России склонна к использованию протекционистских элементов в рамках антимонопольного регулирования. </w:t>
      </w:r>
    </w:p>
    <w:p w14:paraId="0C0035D9" w14:textId="77777777" w:rsidR="00744239" w:rsidRDefault="0067469E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Наглядной иллюстрацией проблем соотношения целей и задач конкурентной и промышленной политик в части защиты отечественных производителей от иностранной конкуренции является кейс рынка оптического волокна.</w:t>
      </w:r>
      <w:r w:rsidR="00744239">
        <w:rPr>
          <w:rFonts w:ascii="Times New Roman" w:hAnsi="Times New Roman" w:cs="Times New Roman"/>
          <w:sz w:val="24"/>
          <w:szCs w:val="24"/>
        </w:rPr>
        <w:t xml:space="preserve">  </w:t>
      </w:r>
      <w:r w:rsidR="00744239" w:rsidRPr="00744239">
        <w:rPr>
          <w:rFonts w:ascii="Times New Roman" w:hAnsi="Times New Roman" w:cs="Times New Roman"/>
          <w:sz w:val="24"/>
          <w:szCs w:val="24"/>
        </w:rPr>
        <w:t xml:space="preserve">На примере изучения конкретной ситуации – антимонопольного регулирования рынка оптоволокна – было идентифицировано искажение целей и применения инструментов конкурентной политики в России. </w:t>
      </w:r>
    </w:p>
    <w:p w14:paraId="06144566" w14:textId="14533ED5" w:rsidR="00744239" w:rsidRDefault="00744239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39">
        <w:rPr>
          <w:rFonts w:ascii="Times New Roman" w:hAnsi="Times New Roman" w:cs="Times New Roman"/>
          <w:sz w:val="24"/>
          <w:szCs w:val="24"/>
        </w:rPr>
        <w:t xml:space="preserve">В исследовании использовались подходы теории отраслевых рынков, антимонопольного анализа и новой институциональной экономической теории. Базой для проведения количественного (экономико-статистического) анализа послужили данные информационно-аналитического агентства CRU Monitor и торговой статистики. </w:t>
      </w:r>
    </w:p>
    <w:p w14:paraId="589E3B08" w14:textId="0404014E" w:rsidR="00F30C0F" w:rsidRDefault="00F30C0F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39">
        <w:rPr>
          <w:rFonts w:ascii="Times New Roman" w:hAnsi="Times New Roman" w:cs="Times New Roman"/>
          <w:sz w:val="24"/>
          <w:szCs w:val="24"/>
        </w:rPr>
        <w:t>Определение географических границ рынка одномодового волокна осуществлялось с помощью теста Эльзинга – Хогарти.</w:t>
      </w:r>
      <w:r w:rsidR="00CC37AF">
        <w:rPr>
          <w:rFonts w:ascii="Times New Roman" w:hAnsi="Times New Roman" w:cs="Times New Roman"/>
          <w:sz w:val="24"/>
          <w:szCs w:val="24"/>
        </w:rPr>
        <w:t xml:space="preserve"> </w:t>
      </w:r>
      <w:r w:rsidR="00CC37AF" w:rsidRPr="00CC37AF">
        <w:rPr>
          <w:rFonts w:ascii="Times New Roman" w:hAnsi="Times New Roman" w:cs="Times New Roman"/>
          <w:sz w:val="24"/>
          <w:szCs w:val="24"/>
        </w:rPr>
        <w:t xml:space="preserve">Экономический смысл теста Эльзинга-Хогарти заключается в определении минимальной территории, с которой вывозится не более 10% объема производимого товара, и на которую ввозится не более 10% объема потребляемого товара. Несоблюдение любого из условий этого теста указывает на то, что предполагаемый </w:t>
      </w:r>
      <w:r w:rsidR="00CC37AF" w:rsidRPr="00CC37AF">
        <w:rPr>
          <w:rFonts w:ascii="Times New Roman" w:hAnsi="Times New Roman" w:cs="Times New Roman"/>
          <w:sz w:val="24"/>
          <w:szCs w:val="24"/>
        </w:rPr>
        <w:lastRenderedPageBreak/>
        <w:t xml:space="preserve">рынок определен слишком узко. Тогда анализ повторяется до тех пор, пока условия не будут выполняться. </w:t>
      </w:r>
    </w:p>
    <w:p w14:paraId="320A1B76" w14:textId="6A5D859E" w:rsidR="002B5849" w:rsidRDefault="00744239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39">
        <w:rPr>
          <w:rFonts w:ascii="Times New Roman" w:hAnsi="Times New Roman" w:cs="Times New Roman"/>
          <w:sz w:val="24"/>
          <w:szCs w:val="24"/>
        </w:rPr>
        <w:t>В</w:t>
      </w:r>
      <w:r w:rsidR="00AB7655">
        <w:rPr>
          <w:rFonts w:ascii="Times New Roman" w:hAnsi="Times New Roman" w:cs="Times New Roman"/>
          <w:sz w:val="24"/>
          <w:szCs w:val="24"/>
        </w:rPr>
        <w:t xml:space="preserve"> ходе исследования в</w:t>
      </w:r>
      <w:r w:rsidRPr="00744239">
        <w:rPr>
          <w:rFonts w:ascii="Times New Roman" w:hAnsi="Times New Roman" w:cs="Times New Roman"/>
          <w:sz w:val="24"/>
          <w:szCs w:val="24"/>
        </w:rPr>
        <w:t xml:space="preserve">ыделены факторы, определяющие динамику рынка оптического волокна: спрос на продукцию смежного рынка – оптического кабеля; динамика производственных мощностей основного сырья для производства оптического волокна – преформ; интеграция стадий производственного процесса оптического волокна; инвестиции в научно-исследовательские и опытно-конструкторские работы (НИОКР). </w:t>
      </w:r>
    </w:p>
    <w:p w14:paraId="6A6231F9" w14:textId="13D101A0" w:rsidR="00744239" w:rsidRDefault="00744239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39">
        <w:rPr>
          <w:rFonts w:ascii="Times New Roman" w:hAnsi="Times New Roman" w:cs="Times New Roman"/>
          <w:sz w:val="24"/>
          <w:szCs w:val="24"/>
        </w:rPr>
        <w:t>Полученные результаты свидетельствуют о том, что регулятор – ФАС России – пришел к ошибочному выводу об узких географических границах в пределах Российской Федерации. Данный вывод имеет значение для соблюдения порядка проведения анализа состояния конкуренции на товарном рынке, так как некорректное определение географических границ рынка может вести к ошибочным оценкам уровня концентрации рынка и установления факта доминирования (и злоупотребления им) компании – потенциального конкурента отечественного производителя. Практика лоббирования интересов национальных производителей не только противоречит принципам защиты конкуренции, но и снижает стимулы игроков рынка к инновационной активности</w:t>
      </w:r>
      <w:r w:rsidR="00E453CA">
        <w:rPr>
          <w:rFonts w:ascii="Times New Roman" w:hAnsi="Times New Roman" w:cs="Times New Roman"/>
          <w:sz w:val="24"/>
          <w:szCs w:val="24"/>
        </w:rPr>
        <w:t>.</w:t>
      </w:r>
    </w:p>
    <w:p w14:paraId="337AC2A9" w14:textId="3A27AA2E" w:rsidR="00F30C0F" w:rsidRDefault="00F30C0F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исследования представляют собой доказательство наличия признаков протекционизма в российском антимонопольном регулировании. </w:t>
      </w:r>
      <w:r w:rsidRPr="00F30C0F">
        <w:rPr>
          <w:rFonts w:ascii="Times New Roman" w:hAnsi="Times New Roman" w:cs="Times New Roman"/>
          <w:sz w:val="24"/>
          <w:szCs w:val="24"/>
        </w:rPr>
        <w:t xml:space="preserve">ФАС России выступает против такого рода практик </w:t>
      </w:r>
      <w:r w:rsidR="00BB3B9E">
        <w:rPr>
          <w:rFonts w:ascii="Times New Roman" w:hAnsi="Times New Roman" w:cs="Times New Roman"/>
          <w:sz w:val="24"/>
          <w:szCs w:val="24"/>
        </w:rPr>
        <w:t>на уровне</w:t>
      </w:r>
      <w:r w:rsidRPr="00F30C0F">
        <w:rPr>
          <w:rFonts w:ascii="Times New Roman" w:hAnsi="Times New Roman" w:cs="Times New Roman"/>
          <w:sz w:val="24"/>
          <w:szCs w:val="24"/>
        </w:rPr>
        <w:t xml:space="preserve"> субъектов РФ, однако реализует их в национальном масштабе.</w:t>
      </w:r>
    </w:p>
    <w:p w14:paraId="358D1556" w14:textId="26FFB5CE" w:rsidR="0067469E" w:rsidRDefault="0067469E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1A8388" w14:textId="77777777" w:rsidR="001353C9" w:rsidRPr="0048449B" w:rsidRDefault="001353C9" w:rsidP="00D9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CD5775" w14:textId="193A75EB" w:rsidR="0015144B" w:rsidRPr="0048449B" w:rsidRDefault="0015144B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AD9970" w14:textId="77777777" w:rsidR="007B799F" w:rsidRPr="0048449B" w:rsidRDefault="007B799F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8EF51" w14:textId="12266B5E" w:rsidR="00CF419C" w:rsidRPr="0048449B" w:rsidRDefault="00CF419C" w:rsidP="001E2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419C" w:rsidRPr="0048449B" w:rsidSect="00355A34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F895" w14:textId="77777777" w:rsidR="00B50AF0" w:rsidRDefault="00B50AF0" w:rsidP="00F30C0F">
      <w:pPr>
        <w:spacing w:after="0" w:line="240" w:lineRule="auto"/>
      </w:pPr>
      <w:r>
        <w:separator/>
      </w:r>
    </w:p>
  </w:endnote>
  <w:endnote w:type="continuationSeparator" w:id="0">
    <w:p w14:paraId="6CCBAF6C" w14:textId="77777777" w:rsidR="00B50AF0" w:rsidRDefault="00B50AF0" w:rsidP="00F3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61952206"/>
      <w:docPartObj>
        <w:docPartGallery w:val="Page Numbers (Bottom of Page)"/>
        <w:docPartUnique/>
      </w:docPartObj>
    </w:sdtPr>
    <w:sdtEndPr/>
    <w:sdtContent>
      <w:p w14:paraId="5056162E" w14:textId="6A856855" w:rsidR="005C50BD" w:rsidRPr="005C50BD" w:rsidRDefault="005C50B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0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C50BD">
          <w:rPr>
            <w:rFonts w:ascii="Times New Roman" w:hAnsi="Times New Roman" w:cs="Times New Roman"/>
            <w:sz w:val="24"/>
            <w:szCs w:val="24"/>
          </w:rPr>
          <w:t>2</w:t>
        </w:r>
        <w:r w:rsidRPr="005C50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E690A1" w14:textId="77777777" w:rsidR="005C50BD" w:rsidRPr="005C50BD" w:rsidRDefault="005C50BD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392B" w14:textId="77777777" w:rsidR="00B50AF0" w:rsidRDefault="00B50AF0" w:rsidP="00F30C0F">
      <w:pPr>
        <w:spacing w:after="0" w:line="240" w:lineRule="auto"/>
      </w:pPr>
      <w:r>
        <w:separator/>
      </w:r>
    </w:p>
  </w:footnote>
  <w:footnote w:type="continuationSeparator" w:id="0">
    <w:p w14:paraId="7D8EE407" w14:textId="77777777" w:rsidR="00B50AF0" w:rsidRDefault="00B50AF0" w:rsidP="00F3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C1"/>
    <w:rsid w:val="00052172"/>
    <w:rsid w:val="00070484"/>
    <w:rsid w:val="000E1382"/>
    <w:rsid w:val="000E1BAE"/>
    <w:rsid w:val="00125EBB"/>
    <w:rsid w:val="001353C9"/>
    <w:rsid w:val="0015144B"/>
    <w:rsid w:val="00161962"/>
    <w:rsid w:val="00186CDF"/>
    <w:rsid w:val="001E247A"/>
    <w:rsid w:val="00221147"/>
    <w:rsid w:val="00274F30"/>
    <w:rsid w:val="00275193"/>
    <w:rsid w:val="002B5849"/>
    <w:rsid w:val="002E3377"/>
    <w:rsid w:val="00304F17"/>
    <w:rsid w:val="00334EB3"/>
    <w:rsid w:val="00355A34"/>
    <w:rsid w:val="003663FB"/>
    <w:rsid w:val="0039400B"/>
    <w:rsid w:val="003A4773"/>
    <w:rsid w:val="003B0605"/>
    <w:rsid w:val="003C478C"/>
    <w:rsid w:val="00423375"/>
    <w:rsid w:val="00451BB3"/>
    <w:rsid w:val="0048449B"/>
    <w:rsid w:val="00537454"/>
    <w:rsid w:val="005C50BD"/>
    <w:rsid w:val="0067469E"/>
    <w:rsid w:val="00675261"/>
    <w:rsid w:val="006F05FD"/>
    <w:rsid w:val="00744239"/>
    <w:rsid w:val="007B799F"/>
    <w:rsid w:val="0094592F"/>
    <w:rsid w:val="00A40681"/>
    <w:rsid w:val="00A436C1"/>
    <w:rsid w:val="00A635BD"/>
    <w:rsid w:val="00A7294D"/>
    <w:rsid w:val="00A9609D"/>
    <w:rsid w:val="00AB7655"/>
    <w:rsid w:val="00AE737E"/>
    <w:rsid w:val="00B04D2F"/>
    <w:rsid w:val="00B25F4A"/>
    <w:rsid w:val="00B34217"/>
    <w:rsid w:val="00B50AF0"/>
    <w:rsid w:val="00BB3B9E"/>
    <w:rsid w:val="00BD70C5"/>
    <w:rsid w:val="00C07990"/>
    <w:rsid w:val="00C77C58"/>
    <w:rsid w:val="00CA31C7"/>
    <w:rsid w:val="00CC37AF"/>
    <w:rsid w:val="00CF419C"/>
    <w:rsid w:val="00D02656"/>
    <w:rsid w:val="00D17820"/>
    <w:rsid w:val="00D715FB"/>
    <w:rsid w:val="00D91405"/>
    <w:rsid w:val="00DF36F0"/>
    <w:rsid w:val="00E453CA"/>
    <w:rsid w:val="00EA369A"/>
    <w:rsid w:val="00EB4685"/>
    <w:rsid w:val="00F12815"/>
    <w:rsid w:val="00F13693"/>
    <w:rsid w:val="00F30C0F"/>
    <w:rsid w:val="00F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AD7E2"/>
  <w15:chartTrackingRefBased/>
  <w15:docId w15:val="{7C17C48A-FB43-4977-9D3A-D4976B0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0BD"/>
  </w:style>
  <w:style w:type="paragraph" w:styleId="a5">
    <w:name w:val="footer"/>
    <w:basedOn w:val="a"/>
    <w:link w:val="a6"/>
    <w:uiPriority w:val="99"/>
    <w:unhideWhenUsed/>
    <w:rsid w:val="005C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Meleshkina</dc:creator>
  <cp:keywords/>
  <dc:description/>
  <cp:lastModifiedBy>Anna Meleshkina</cp:lastModifiedBy>
  <cp:revision>57</cp:revision>
  <dcterms:created xsi:type="dcterms:W3CDTF">2021-11-11T18:50:00Z</dcterms:created>
  <dcterms:modified xsi:type="dcterms:W3CDTF">2021-11-24T17:20:00Z</dcterms:modified>
</cp:coreProperties>
</file>