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DA" w:rsidRPr="00CB6C3F" w:rsidRDefault="00CB6C3F" w:rsidP="00CB6C3F">
      <w:pPr>
        <w:jc w:val="center"/>
        <w:rPr>
          <w:rFonts w:ascii="Times New Roman" w:hAnsi="Times New Roman" w:cs="Times New Roman"/>
          <w:sz w:val="24"/>
          <w:szCs w:val="24"/>
          <w:lang w:val="en-US"/>
        </w:rPr>
      </w:pPr>
      <w:r w:rsidRPr="00CB6C3F">
        <w:rPr>
          <w:rFonts w:ascii="Times New Roman" w:hAnsi="Times New Roman" w:cs="Times New Roman"/>
          <w:sz w:val="24"/>
          <w:szCs w:val="24"/>
          <w:lang w:val="en-US"/>
        </w:rPr>
        <w:t xml:space="preserve">XXIV </w:t>
      </w:r>
      <w:proofErr w:type="spellStart"/>
      <w:r w:rsidRPr="00CB6C3F">
        <w:rPr>
          <w:rFonts w:ascii="Times New Roman" w:hAnsi="Times New Roman" w:cs="Times New Roman"/>
          <w:sz w:val="24"/>
          <w:szCs w:val="24"/>
          <w:lang w:val="en-US"/>
        </w:rPr>
        <w:t>Yasinskaya</w:t>
      </w:r>
      <w:proofErr w:type="spellEnd"/>
      <w:r w:rsidRPr="00CB6C3F">
        <w:rPr>
          <w:rFonts w:ascii="Times New Roman" w:hAnsi="Times New Roman" w:cs="Times New Roman"/>
          <w:sz w:val="24"/>
          <w:szCs w:val="24"/>
          <w:lang w:val="en-US"/>
        </w:rPr>
        <w:t xml:space="preserve"> (April)</w:t>
      </w:r>
      <w:r>
        <w:rPr>
          <w:rFonts w:ascii="Times New Roman" w:hAnsi="Times New Roman" w:cs="Times New Roman"/>
          <w:sz w:val="24"/>
          <w:szCs w:val="24"/>
          <w:lang w:val="en-US"/>
        </w:rPr>
        <w:br/>
      </w:r>
      <w:r w:rsidRPr="00CB6C3F">
        <w:rPr>
          <w:rFonts w:ascii="Times New Roman" w:hAnsi="Times New Roman" w:cs="Times New Roman"/>
          <w:sz w:val="24"/>
          <w:szCs w:val="24"/>
          <w:lang w:val="en-US"/>
        </w:rPr>
        <w:t>international scientific conference</w:t>
      </w:r>
      <w:r>
        <w:rPr>
          <w:rFonts w:ascii="Times New Roman" w:hAnsi="Times New Roman" w:cs="Times New Roman"/>
          <w:sz w:val="24"/>
          <w:szCs w:val="24"/>
          <w:lang w:val="en-US"/>
        </w:rPr>
        <w:br/>
      </w:r>
      <w:r w:rsidRPr="00CB6C3F">
        <w:rPr>
          <w:rFonts w:ascii="Times New Roman" w:hAnsi="Times New Roman" w:cs="Times New Roman"/>
          <w:sz w:val="24"/>
          <w:szCs w:val="24"/>
          <w:lang w:val="en-US"/>
        </w:rPr>
        <w:t>on problems of economic and social development</w:t>
      </w:r>
    </w:p>
    <w:p w:rsidR="00D52CEE" w:rsidRPr="00CB6C3F" w:rsidRDefault="00CB6C3F" w:rsidP="00D52CEE">
      <w:pPr>
        <w:jc w:val="center"/>
        <w:rPr>
          <w:rFonts w:ascii="Times New Roman" w:hAnsi="Times New Roman" w:cs="Times New Roman"/>
          <w:b/>
          <w:sz w:val="24"/>
          <w:szCs w:val="24"/>
          <w:lang w:val="en-US"/>
        </w:rPr>
      </w:pPr>
      <w:r w:rsidRPr="00CB6C3F">
        <w:rPr>
          <w:rFonts w:ascii="Times New Roman" w:hAnsi="Times New Roman" w:cs="Times New Roman"/>
          <w:b/>
          <w:sz w:val="24"/>
          <w:szCs w:val="24"/>
          <w:lang w:val="en-US"/>
        </w:rPr>
        <w:t xml:space="preserve">Excess child and adolescent </w:t>
      </w:r>
      <w:r>
        <w:rPr>
          <w:rFonts w:ascii="Times New Roman" w:hAnsi="Times New Roman" w:cs="Times New Roman"/>
          <w:b/>
          <w:sz w:val="24"/>
          <w:szCs w:val="24"/>
          <w:lang w:val="en-US"/>
        </w:rPr>
        <w:t>summer</w:t>
      </w:r>
      <w:r w:rsidRPr="00CB6C3F">
        <w:rPr>
          <w:rFonts w:ascii="Times New Roman" w:hAnsi="Times New Roman" w:cs="Times New Roman"/>
          <w:b/>
          <w:sz w:val="24"/>
          <w:szCs w:val="24"/>
          <w:lang w:val="en-US"/>
        </w:rPr>
        <w:t xml:space="preserve"> mortality: the effect of long school holidays?</w:t>
      </w:r>
    </w:p>
    <w:p w:rsidR="00D52CEE" w:rsidRPr="00CB6C3F" w:rsidRDefault="00CB6C3F" w:rsidP="00D52CEE">
      <w:pPr>
        <w:jc w:val="center"/>
        <w:rPr>
          <w:rFonts w:ascii="Times New Roman" w:hAnsi="Times New Roman" w:cs="Times New Roman"/>
          <w:sz w:val="24"/>
          <w:szCs w:val="24"/>
          <w:lang w:val="en-US"/>
        </w:rPr>
      </w:pPr>
      <w:r>
        <w:rPr>
          <w:rFonts w:ascii="Times New Roman" w:hAnsi="Times New Roman" w:cs="Times New Roman"/>
          <w:sz w:val="24"/>
          <w:szCs w:val="24"/>
          <w:lang w:val="en-US"/>
        </w:rPr>
        <w:t>Polina</w:t>
      </w:r>
      <w:r w:rsidRPr="00CB6C3F">
        <w:rPr>
          <w:rFonts w:ascii="Times New Roman" w:hAnsi="Times New Roman" w:cs="Times New Roman"/>
          <w:sz w:val="24"/>
          <w:szCs w:val="24"/>
          <w:lang w:val="en-US"/>
        </w:rPr>
        <w:t xml:space="preserve"> </w:t>
      </w:r>
      <w:r>
        <w:rPr>
          <w:rFonts w:ascii="Times New Roman" w:hAnsi="Times New Roman" w:cs="Times New Roman"/>
          <w:sz w:val="24"/>
          <w:szCs w:val="24"/>
          <w:lang w:val="en-US"/>
        </w:rPr>
        <w:t>Kuznetsova</w:t>
      </w:r>
      <w:r w:rsidR="00F45429" w:rsidRPr="00CB6C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Tatiana </w:t>
      </w:r>
      <w:proofErr w:type="spellStart"/>
      <w:r>
        <w:rPr>
          <w:rFonts w:ascii="Times New Roman" w:hAnsi="Times New Roman" w:cs="Times New Roman"/>
          <w:sz w:val="24"/>
          <w:szCs w:val="24"/>
          <w:lang w:val="en-US"/>
        </w:rPr>
        <w:t>Maleva</w:t>
      </w:r>
      <w:proofErr w:type="spellEnd"/>
      <w:r w:rsidR="00F45429" w:rsidRPr="00CB6C3F">
        <w:rPr>
          <w:rFonts w:ascii="Times New Roman" w:hAnsi="Times New Roman" w:cs="Times New Roman"/>
          <w:sz w:val="24"/>
          <w:szCs w:val="24"/>
          <w:lang w:val="en-US"/>
        </w:rPr>
        <w:t xml:space="preserve">) </w:t>
      </w:r>
    </w:p>
    <w:p w:rsidR="000E6FC1" w:rsidRPr="00CB6C3F" w:rsidRDefault="00CB6C3F" w:rsidP="00D52CEE">
      <w:pPr>
        <w:jc w:val="center"/>
        <w:rPr>
          <w:rFonts w:ascii="Times New Roman" w:hAnsi="Times New Roman" w:cs="Times New Roman"/>
          <w:sz w:val="24"/>
          <w:szCs w:val="24"/>
          <w:lang w:val="en-US"/>
        </w:rPr>
      </w:pPr>
      <w:r>
        <w:rPr>
          <w:rFonts w:ascii="Times New Roman" w:hAnsi="Times New Roman" w:cs="Times New Roman"/>
          <w:sz w:val="24"/>
          <w:szCs w:val="24"/>
          <w:lang w:val="en-US"/>
        </w:rPr>
        <w:t>Institute for Social Analysis and Forecasting at RANEPA</w:t>
      </w:r>
    </w:p>
    <w:p w:rsidR="00D52CEE" w:rsidRPr="00CE71E7" w:rsidRDefault="00D52CEE" w:rsidP="00F45429">
      <w:pPr>
        <w:jc w:val="center"/>
        <w:rPr>
          <w:rFonts w:ascii="Times New Roman" w:hAnsi="Times New Roman" w:cs="Times New Roman"/>
          <w:sz w:val="24"/>
          <w:szCs w:val="24"/>
        </w:rPr>
      </w:pPr>
      <w:r w:rsidRPr="000E6FC1">
        <w:rPr>
          <w:rFonts w:ascii="Times New Roman" w:hAnsi="Times New Roman" w:cs="Times New Roman"/>
          <w:sz w:val="24"/>
          <w:szCs w:val="24"/>
          <w:lang w:val="en-US"/>
        </w:rPr>
        <w:t>E</w:t>
      </w:r>
      <w:r w:rsidRPr="00CE71E7">
        <w:rPr>
          <w:rFonts w:ascii="Times New Roman" w:hAnsi="Times New Roman" w:cs="Times New Roman"/>
          <w:sz w:val="24"/>
          <w:szCs w:val="24"/>
        </w:rPr>
        <w:t>-</w:t>
      </w:r>
      <w:r w:rsidRPr="000E6FC1">
        <w:rPr>
          <w:rFonts w:ascii="Times New Roman" w:hAnsi="Times New Roman" w:cs="Times New Roman"/>
          <w:sz w:val="24"/>
          <w:szCs w:val="24"/>
          <w:lang w:val="en-US"/>
        </w:rPr>
        <w:t>mail</w:t>
      </w:r>
      <w:r w:rsidRPr="00CE71E7">
        <w:rPr>
          <w:rFonts w:ascii="Times New Roman" w:hAnsi="Times New Roman" w:cs="Times New Roman"/>
          <w:sz w:val="24"/>
          <w:szCs w:val="24"/>
        </w:rPr>
        <w:t xml:space="preserve">: </w:t>
      </w:r>
      <w:hyperlink r:id="rId5" w:history="1">
        <w:r w:rsidRPr="000E6FC1">
          <w:rPr>
            <w:rFonts w:ascii="Times New Roman" w:hAnsi="Times New Roman" w:cs="Times New Roman"/>
            <w:sz w:val="24"/>
            <w:szCs w:val="24"/>
            <w:lang w:val="en-US"/>
          </w:rPr>
          <w:t>polina</w:t>
        </w:r>
        <w:r w:rsidRPr="00CE71E7">
          <w:rPr>
            <w:rFonts w:ascii="Times New Roman" w:hAnsi="Times New Roman" w:cs="Times New Roman"/>
            <w:sz w:val="24"/>
            <w:szCs w:val="24"/>
          </w:rPr>
          <w:t>.</w:t>
        </w:r>
        <w:r w:rsidRPr="000E6FC1">
          <w:rPr>
            <w:rFonts w:ascii="Times New Roman" w:hAnsi="Times New Roman" w:cs="Times New Roman"/>
            <w:sz w:val="24"/>
            <w:szCs w:val="24"/>
            <w:lang w:val="en-US"/>
          </w:rPr>
          <w:t>kuznetsova</w:t>
        </w:r>
        <w:r w:rsidRPr="00CE71E7">
          <w:rPr>
            <w:rFonts w:ascii="Times New Roman" w:hAnsi="Times New Roman" w:cs="Times New Roman"/>
            <w:sz w:val="24"/>
            <w:szCs w:val="24"/>
          </w:rPr>
          <w:t>29@</w:t>
        </w:r>
        <w:r w:rsidRPr="000E6FC1">
          <w:rPr>
            <w:rFonts w:ascii="Times New Roman" w:hAnsi="Times New Roman" w:cs="Times New Roman"/>
            <w:sz w:val="24"/>
            <w:szCs w:val="24"/>
            <w:lang w:val="en-US"/>
          </w:rPr>
          <w:t>gmail</w:t>
        </w:r>
        <w:r w:rsidRPr="00CE71E7">
          <w:rPr>
            <w:rFonts w:ascii="Times New Roman" w:hAnsi="Times New Roman" w:cs="Times New Roman"/>
            <w:sz w:val="24"/>
            <w:szCs w:val="24"/>
          </w:rPr>
          <w:t>.</w:t>
        </w:r>
        <w:r w:rsidRPr="000E6FC1">
          <w:rPr>
            <w:rFonts w:ascii="Times New Roman" w:hAnsi="Times New Roman" w:cs="Times New Roman"/>
            <w:sz w:val="24"/>
            <w:szCs w:val="24"/>
            <w:lang w:val="en-US"/>
          </w:rPr>
          <w:t>com</w:t>
        </w:r>
      </w:hyperlink>
    </w:p>
    <w:p w:rsidR="00F45429" w:rsidRPr="00EA138F" w:rsidRDefault="00EA138F" w:rsidP="00F45429">
      <w:pPr>
        <w:spacing w:after="0" w:line="360" w:lineRule="auto"/>
        <w:ind w:firstLine="709"/>
        <w:jc w:val="both"/>
        <w:rPr>
          <w:rFonts w:ascii="Times New Roman" w:eastAsia="Times New Roman" w:hAnsi="Times New Roman" w:cs="Times New Roman"/>
          <w:color w:val="222222"/>
          <w:sz w:val="24"/>
          <w:szCs w:val="24"/>
          <w:lang w:val="en-US"/>
        </w:rPr>
      </w:pPr>
      <w:r w:rsidRPr="00EA138F">
        <w:rPr>
          <w:rFonts w:ascii="Times New Roman" w:eastAsia="Times New Roman" w:hAnsi="Times New Roman" w:cs="Times New Roman"/>
          <w:color w:val="222222"/>
          <w:sz w:val="24"/>
          <w:szCs w:val="24"/>
          <w:lang w:val="en-US"/>
        </w:rPr>
        <w:t xml:space="preserve">Mortality in Russia has a pronounced seasonality: deaths occur more often in winter, at the peak of seasonal respiratory diseases. However, for certain age groups, this rule is violated and </w:t>
      </w:r>
      <w:r>
        <w:rPr>
          <w:rFonts w:ascii="Times New Roman" w:eastAsia="Times New Roman" w:hAnsi="Times New Roman" w:cs="Times New Roman"/>
          <w:color w:val="222222"/>
          <w:sz w:val="24"/>
          <w:szCs w:val="24"/>
          <w:lang w:val="en-US"/>
        </w:rPr>
        <w:t xml:space="preserve">summer </w:t>
      </w:r>
      <w:r w:rsidRPr="00EA138F">
        <w:rPr>
          <w:rFonts w:ascii="Times New Roman" w:eastAsia="Times New Roman" w:hAnsi="Times New Roman" w:cs="Times New Roman"/>
          <w:color w:val="222222"/>
          <w:sz w:val="24"/>
          <w:szCs w:val="24"/>
          <w:lang w:val="en-US"/>
        </w:rPr>
        <w:t xml:space="preserve">mortality in </w:t>
      </w:r>
      <w:r>
        <w:rPr>
          <w:rFonts w:ascii="Times New Roman" w:eastAsia="Times New Roman" w:hAnsi="Times New Roman" w:cs="Times New Roman"/>
          <w:color w:val="222222"/>
          <w:sz w:val="24"/>
          <w:szCs w:val="24"/>
          <w:lang w:val="en-US"/>
        </w:rPr>
        <w:t xml:space="preserve">them </w:t>
      </w:r>
      <w:r w:rsidRPr="00EA138F">
        <w:rPr>
          <w:rFonts w:ascii="Times New Roman" w:eastAsia="Times New Roman" w:hAnsi="Times New Roman" w:cs="Times New Roman"/>
          <w:color w:val="222222"/>
          <w:sz w:val="24"/>
          <w:szCs w:val="24"/>
          <w:lang w:val="en-US"/>
        </w:rPr>
        <w:t>is noticeably higher. This can be seen in the weekly data of the Human Mortality Database (Table 1).</w:t>
      </w:r>
      <w:r>
        <w:rPr>
          <w:rFonts w:ascii="Times New Roman" w:eastAsia="Times New Roman" w:hAnsi="Times New Roman" w:cs="Times New Roman"/>
          <w:color w:val="222222"/>
          <w:sz w:val="24"/>
          <w:szCs w:val="24"/>
          <w:lang w:val="en-US"/>
        </w:rPr>
        <w:t xml:space="preserve"> </w:t>
      </w:r>
      <w:r w:rsidRPr="00EA138F">
        <w:rPr>
          <w:rFonts w:ascii="Times New Roman" w:eastAsia="Times New Roman" w:hAnsi="Times New Roman" w:cs="Times New Roman"/>
          <w:color w:val="222222"/>
          <w:sz w:val="24"/>
          <w:szCs w:val="24"/>
          <w:lang w:val="en-US"/>
        </w:rPr>
        <w:t>The seasonality coefficients, calculated as the ratio of the average monthly number of deaths in June-August and the average monthly number of deaths in 2019, reach a maximum at the age of 5-14 years and then decrease below unity after 45 years, which corresponds to the transition to the winter seasonality of mortality (Table 1)</w:t>
      </w:r>
    </w:p>
    <w:p w:rsidR="00F45429" w:rsidRPr="006C77BA" w:rsidRDefault="00EA138F" w:rsidP="00F45429">
      <w:pPr>
        <w:spacing w:after="0" w:line="360" w:lineRule="auto"/>
        <w:jc w:val="both"/>
        <w:rPr>
          <w:rFonts w:ascii="Times New Roman" w:eastAsia="Times New Roman" w:hAnsi="Times New Roman" w:cs="Times New Roman"/>
          <w:color w:val="222222"/>
          <w:sz w:val="24"/>
          <w:szCs w:val="24"/>
        </w:rPr>
      </w:pPr>
      <w:r w:rsidRPr="00EA138F">
        <w:rPr>
          <w:rFonts w:ascii="Times New Roman" w:eastAsia="Times New Roman" w:hAnsi="Times New Roman" w:cs="Times New Roman"/>
          <w:color w:val="222222"/>
          <w:sz w:val="24"/>
          <w:szCs w:val="24"/>
          <w:lang w:val="en-US"/>
        </w:rPr>
        <w:t>Table 1. Mortality seasonality index by age, men and women, 2001-2020</w:t>
      </w:r>
    </w:p>
    <w:tbl>
      <w:tblPr>
        <w:tblStyle w:val="a5"/>
        <w:tblW w:w="9356" w:type="dxa"/>
        <w:tblInd w:w="-5" w:type="dxa"/>
        <w:tblLayout w:type="fixed"/>
        <w:tblLook w:val="04A0" w:firstRow="1" w:lastRow="0" w:firstColumn="1" w:lastColumn="0" w:noHBand="0" w:noVBand="1"/>
      </w:tblPr>
      <w:tblGrid>
        <w:gridCol w:w="924"/>
        <w:gridCol w:w="715"/>
        <w:gridCol w:w="715"/>
        <w:gridCol w:w="716"/>
        <w:gridCol w:w="715"/>
        <w:gridCol w:w="715"/>
        <w:gridCol w:w="716"/>
        <w:gridCol w:w="715"/>
        <w:gridCol w:w="715"/>
        <w:gridCol w:w="716"/>
        <w:gridCol w:w="715"/>
        <w:gridCol w:w="715"/>
        <w:gridCol w:w="564"/>
      </w:tblGrid>
      <w:tr w:rsidR="00F45429" w:rsidRPr="00564D1F" w:rsidTr="00ED4AD3">
        <w:tc>
          <w:tcPr>
            <w:tcW w:w="924" w:type="dxa"/>
          </w:tcPr>
          <w:p w:rsidR="00F45429" w:rsidRPr="00EA138F" w:rsidRDefault="00F45429" w:rsidP="00ED4AD3">
            <w:pPr>
              <w:spacing w:line="360" w:lineRule="auto"/>
              <w:jc w:val="both"/>
              <w:rPr>
                <w:rFonts w:ascii="Times New Roman" w:eastAsia="Calibri" w:hAnsi="Times New Roman" w:cs="Times New Roman"/>
                <w:noProof/>
                <w:sz w:val="18"/>
                <w:szCs w:val="18"/>
                <w:lang w:val="en-US" w:eastAsia="ru-RU"/>
              </w:rPr>
            </w:pPr>
          </w:p>
        </w:tc>
        <w:tc>
          <w:tcPr>
            <w:tcW w:w="4292" w:type="dxa"/>
            <w:gridSpan w:val="6"/>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Мужчины</w:t>
            </w:r>
          </w:p>
        </w:tc>
        <w:tc>
          <w:tcPr>
            <w:tcW w:w="4140" w:type="dxa"/>
            <w:gridSpan w:val="6"/>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Женщины</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Год</w:t>
            </w:r>
          </w:p>
        </w:tc>
        <w:tc>
          <w:tcPr>
            <w:tcW w:w="715"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2000</w:t>
            </w:r>
          </w:p>
        </w:tc>
        <w:tc>
          <w:tcPr>
            <w:tcW w:w="715"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2005</w:t>
            </w:r>
          </w:p>
        </w:tc>
        <w:tc>
          <w:tcPr>
            <w:tcW w:w="716"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2009</w:t>
            </w:r>
          </w:p>
        </w:tc>
        <w:tc>
          <w:tcPr>
            <w:tcW w:w="715"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2015</w:t>
            </w:r>
          </w:p>
        </w:tc>
        <w:tc>
          <w:tcPr>
            <w:tcW w:w="715"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2019</w:t>
            </w:r>
          </w:p>
        </w:tc>
        <w:tc>
          <w:tcPr>
            <w:tcW w:w="716"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2020</w:t>
            </w:r>
          </w:p>
        </w:tc>
        <w:tc>
          <w:tcPr>
            <w:tcW w:w="715"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2000</w:t>
            </w:r>
          </w:p>
        </w:tc>
        <w:tc>
          <w:tcPr>
            <w:tcW w:w="715"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2005</w:t>
            </w:r>
          </w:p>
        </w:tc>
        <w:tc>
          <w:tcPr>
            <w:tcW w:w="716"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2009</w:t>
            </w:r>
          </w:p>
        </w:tc>
        <w:tc>
          <w:tcPr>
            <w:tcW w:w="715"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2015</w:t>
            </w:r>
          </w:p>
        </w:tc>
        <w:tc>
          <w:tcPr>
            <w:tcW w:w="715"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2019</w:t>
            </w:r>
          </w:p>
        </w:tc>
        <w:tc>
          <w:tcPr>
            <w:tcW w:w="564" w:type="dxa"/>
            <w:tcMar>
              <w:left w:w="28" w:type="dxa"/>
              <w:right w:w="28" w:type="dxa"/>
            </w:tcMar>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2020</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0-4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102</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97</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101</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99</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96</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97</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101</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95</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5-9</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160</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155</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133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133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107</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132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130</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105</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122</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10-14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150</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146</w:t>
            </w:r>
          </w:p>
        </w:tc>
        <w:tc>
          <w:tcPr>
            <w:tcW w:w="716" w:type="dxa"/>
          </w:tcPr>
          <w:p w:rsidR="00F45429" w:rsidRPr="00564D1F" w:rsidRDefault="00F45429" w:rsidP="00ED4AD3">
            <w:pPr>
              <w:rPr>
                <w:rFonts w:ascii="Times New Roman" w:eastAsia="Calibri" w:hAnsi="Times New Roman" w:cs="Times New Roman"/>
                <w:b/>
                <w:sz w:val="18"/>
                <w:szCs w:val="18"/>
              </w:rPr>
            </w:pPr>
            <w:r w:rsidRPr="00564D1F">
              <w:rPr>
                <w:rFonts w:ascii="Times New Roman" w:eastAsia="Calibri" w:hAnsi="Times New Roman" w:cs="Times New Roman"/>
                <w:b/>
                <w:sz w:val="18"/>
                <w:szCs w:val="18"/>
              </w:rPr>
              <w:t>142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136</w:t>
            </w:r>
          </w:p>
        </w:tc>
        <w:tc>
          <w:tcPr>
            <w:tcW w:w="715" w:type="dxa"/>
          </w:tcPr>
          <w:p w:rsidR="00F45429" w:rsidRPr="00564D1F" w:rsidRDefault="00F45429" w:rsidP="00ED4AD3">
            <w:pPr>
              <w:rPr>
                <w:rFonts w:ascii="Times New Roman" w:eastAsia="Calibri" w:hAnsi="Times New Roman" w:cs="Times New Roman"/>
                <w:b/>
                <w:sz w:val="18"/>
                <w:szCs w:val="18"/>
              </w:rPr>
            </w:pPr>
            <w:r w:rsidRPr="00564D1F">
              <w:rPr>
                <w:rFonts w:ascii="Times New Roman" w:eastAsia="Calibri" w:hAnsi="Times New Roman" w:cs="Times New Roman"/>
                <w:b/>
                <w:sz w:val="18"/>
                <w:szCs w:val="18"/>
              </w:rPr>
              <w:t>139</w:t>
            </w:r>
          </w:p>
        </w:tc>
        <w:tc>
          <w:tcPr>
            <w:tcW w:w="716" w:type="dxa"/>
          </w:tcPr>
          <w:p w:rsidR="00F45429" w:rsidRPr="00564D1F" w:rsidRDefault="00F45429" w:rsidP="00ED4AD3">
            <w:pPr>
              <w:rPr>
                <w:rFonts w:ascii="Times New Roman" w:eastAsia="Calibri" w:hAnsi="Times New Roman" w:cs="Times New Roman"/>
                <w:b/>
                <w:sz w:val="18"/>
                <w:szCs w:val="18"/>
              </w:rPr>
            </w:pPr>
            <w:r w:rsidRPr="00564D1F">
              <w:rPr>
                <w:rFonts w:ascii="Times New Roman" w:eastAsia="Calibri" w:hAnsi="Times New Roman" w:cs="Times New Roman"/>
                <w:b/>
                <w:sz w:val="18"/>
                <w:szCs w:val="18"/>
              </w:rPr>
              <w:t>148</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161</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148</w:t>
            </w:r>
          </w:p>
        </w:tc>
        <w:tc>
          <w:tcPr>
            <w:tcW w:w="716" w:type="dxa"/>
          </w:tcPr>
          <w:p w:rsidR="00F45429" w:rsidRPr="00564D1F" w:rsidRDefault="00F45429" w:rsidP="00ED4AD3">
            <w:pPr>
              <w:rPr>
                <w:rFonts w:ascii="Times New Roman" w:eastAsia="Calibri" w:hAnsi="Times New Roman" w:cs="Times New Roman"/>
                <w:b/>
                <w:sz w:val="18"/>
                <w:szCs w:val="18"/>
              </w:rPr>
            </w:pPr>
            <w:r w:rsidRPr="00564D1F">
              <w:rPr>
                <w:rFonts w:ascii="Times New Roman" w:eastAsia="Calibri" w:hAnsi="Times New Roman" w:cs="Times New Roman"/>
                <w:b/>
                <w:sz w:val="18"/>
                <w:szCs w:val="18"/>
              </w:rPr>
              <w:t>130</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119</w:t>
            </w:r>
          </w:p>
        </w:tc>
        <w:tc>
          <w:tcPr>
            <w:tcW w:w="715" w:type="dxa"/>
          </w:tcPr>
          <w:p w:rsidR="00F45429" w:rsidRPr="00564D1F" w:rsidRDefault="00F45429" w:rsidP="00ED4AD3">
            <w:pPr>
              <w:rPr>
                <w:rFonts w:ascii="Times New Roman" w:eastAsia="Calibri" w:hAnsi="Times New Roman" w:cs="Times New Roman"/>
                <w:b/>
                <w:sz w:val="18"/>
                <w:szCs w:val="18"/>
              </w:rPr>
            </w:pPr>
            <w:r w:rsidRPr="00564D1F">
              <w:rPr>
                <w:rFonts w:ascii="Times New Roman" w:eastAsia="Calibri" w:hAnsi="Times New Roman" w:cs="Times New Roman"/>
                <w:b/>
                <w:sz w:val="18"/>
                <w:szCs w:val="18"/>
              </w:rPr>
              <w:t>107</w:t>
            </w:r>
          </w:p>
        </w:tc>
        <w:tc>
          <w:tcPr>
            <w:tcW w:w="564" w:type="dxa"/>
          </w:tcPr>
          <w:p w:rsidR="00F45429" w:rsidRPr="00564D1F" w:rsidRDefault="00F45429" w:rsidP="00ED4AD3">
            <w:pPr>
              <w:rPr>
                <w:rFonts w:ascii="Times New Roman" w:eastAsia="Calibri" w:hAnsi="Times New Roman" w:cs="Times New Roman"/>
                <w:b/>
                <w:sz w:val="18"/>
                <w:szCs w:val="18"/>
              </w:rPr>
            </w:pPr>
            <w:r w:rsidRPr="00564D1F">
              <w:rPr>
                <w:rFonts w:ascii="Times New Roman" w:eastAsia="Calibri" w:hAnsi="Times New Roman" w:cs="Times New Roman"/>
                <w:b/>
                <w:sz w:val="18"/>
                <w:szCs w:val="18"/>
              </w:rPr>
              <w:t>107</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15-24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128</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137</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122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117</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115</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130</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131</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130</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105</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121</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25-34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118</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118</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106</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96</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102</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107</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110</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91</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92</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106</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35-44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98</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96</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96</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100</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97</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93</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91</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95</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107</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45-54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99</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93</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89</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91</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89</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91</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108</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55-64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89</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90</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96</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90</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90</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83</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91</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88</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87</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106</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65-74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86</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87</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87</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89</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96</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82</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86</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93</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115</w:t>
            </w:r>
          </w:p>
        </w:tc>
      </w:tr>
      <w:tr w:rsidR="00F45429" w:rsidRPr="00564D1F" w:rsidTr="00ED4AD3">
        <w:tc>
          <w:tcPr>
            <w:tcW w:w="924" w:type="dxa"/>
          </w:tcPr>
          <w:p w:rsidR="00F45429" w:rsidRPr="00564D1F" w:rsidRDefault="00F45429" w:rsidP="00ED4AD3">
            <w:pPr>
              <w:spacing w:line="360" w:lineRule="auto"/>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75-85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87</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87</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108</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81</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84</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85</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86</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106</w:t>
            </w:r>
          </w:p>
        </w:tc>
      </w:tr>
      <w:tr w:rsidR="00F45429" w:rsidRPr="00564D1F" w:rsidTr="00ED4AD3">
        <w:tc>
          <w:tcPr>
            <w:tcW w:w="924" w:type="dxa"/>
          </w:tcPr>
          <w:p w:rsidR="00F45429" w:rsidRPr="00564D1F" w:rsidRDefault="00F45429" w:rsidP="00ED4AD3">
            <w:pPr>
              <w:jc w:val="both"/>
              <w:rPr>
                <w:rFonts w:ascii="Times New Roman" w:eastAsia="Calibri" w:hAnsi="Times New Roman" w:cs="Times New Roman"/>
                <w:noProof/>
                <w:sz w:val="18"/>
                <w:szCs w:val="18"/>
                <w:lang w:eastAsia="ru-RU"/>
              </w:rPr>
            </w:pPr>
            <w:r w:rsidRPr="00564D1F">
              <w:rPr>
                <w:rFonts w:ascii="Times New Roman" w:eastAsia="Calibri" w:hAnsi="Times New Roman" w:cs="Times New Roman"/>
                <w:noProof/>
                <w:sz w:val="18"/>
                <w:szCs w:val="18"/>
                <w:lang w:eastAsia="ru-RU"/>
              </w:rPr>
              <w:t>85 лет и старше</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72</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81</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86</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86</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85</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109</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74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79</w:t>
            </w:r>
          </w:p>
        </w:tc>
        <w:tc>
          <w:tcPr>
            <w:tcW w:w="716"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84</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83</w:t>
            </w:r>
          </w:p>
        </w:tc>
        <w:tc>
          <w:tcPr>
            <w:tcW w:w="715"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84</w:t>
            </w:r>
          </w:p>
        </w:tc>
        <w:tc>
          <w:tcPr>
            <w:tcW w:w="564" w:type="dxa"/>
          </w:tcPr>
          <w:p w:rsidR="00F45429" w:rsidRPr="00564D1F" w:rsidRDefault="00F45429" w:rsidP="00ED4AD3">
            <w:pPr>
              <w:rPr>
                <w:rFonts w:ascii="Times New Roman" w:eastAsia="Calibri" w:hAnsi="Times New Roman" w:cs="Times New Roman"/>
                <w:sz w:val="18"/>
                <w:szCs w:val="18"/>
              </w:rPr>
            </w:pPr>
            <w:r w:rsidRPr="00564D1F">
              <w:rPr>
                <w:rFonts w:ascii="Times New Roman" w:eastAsia="Calibri" w:hAnsi="Times New Roman" w:cs="Times New Roman"/>
                <w:sz w:val="18"/>
                <w:szCs w:val="18"/>
              </w:rPr>
              <w:t>104</w:t>
            </w:r>
          </w:p>
        </w:tc>
      </w:tr>
    </w:tbl>
    <w:p w:rsidR="00F45429" w:rsidRDefault="00F45429" w:rsidP="00F45429">
      <w:pPr>
        <w:pStyle w:val="a3"/>
        <w:spacing w:line="240" w:lineRule="auto"/>
        <w:ind w:firstLine="0"/>
        <w:rPr>
          <w:noProof/>
          <w:lang w:eastAsia="ru-RU"/>
        </w:rPr>
      </w:pPr>
      <w:r>
        <w:rPr>
          <w:noProof/>
          <w:lang w:eastAsia="ru-RU"/>
        </w:rPr>
        <w:t>Примечание. Вместо 2010 г., характеризовавшегося экстремальными погодными условиями в европейской части страны, был рассмотрен 2009 г. К данным пандемийного 2020 г. были добавлены данные за 2019 г.</w:t>
      </w:r>
    </w:p>
    <w:p w:rsidR="00F45429" w:rsidRPr="00F82BA9" w:rsidRDefault="00F45429" w:rsidP="00F45429">
      <w:pPr>
        <w:spacing w:after="0" w:line="360" w:lineRule="auto"/>
        <w:jc w:val="both"/>
        <w:rPr>
          <w:rFonts w:ascii="Times New Roman" w:eastAsia="Times New Roman" w:hAnsi="Times New Roman" w:cs="Times New Roman"/>
          <w:color w:val="222222"/>
          <w:sz w:val="24"/>
          <w:szCs w:val="24"/>
          <w:highlight w:val="yellow"/>
        </w:rPr>
      </w:pPr>
      <w:r>
        <w:rPr>
          <w:rFonts w:ascii="Times New Roman" w:eastAsia="Times New Roman" w:hAnsi="Times New Roman" w:cs="Times New Roman"/>
          <w:color w:val="222222"/>
          <w:sz w:val="24"/>
          <w:szCs w:val="24"/>
        </w:rPr>
        <w:t xml:space="preserve">Источник. Расчеты </w:t>
      </w:r>
      <w:r w:rsidRPr="00F82BA9">
        <w:rPr>
          <w:rFonts w:ascii="Times New Roman" w:eastAsia="Times New Roman" w:hAnsi="Times New Roman" w:cs="Times New Roman"/>
          <w:color w:val="222222"/>
          <w:sz w:val="24"/>
          <w:szCs w:val="24"/>
        </w:rPr>
        <w:t xml:space="preserve">авторов на данных </w:t>
      </w:r>
      <w:r w:rsidRPr="00F82BA9">
        <w:rPr>
          <w:rFonts w:ascii="Times New Roman" w:eastAsia="Times New Roman" w:hAnsi="Times New Roman" w:cs="Times New Roman"/>
          <w:color w:val="222222"/>
          <w:sz w:val="24"/>
          <w:szCs w:val="24"/>
          <w:lang w:val="en-US"/>
        </w:rPr>
        <w:t>STMF</w:t>
      </w:r>
      <w:r w:rsidRPr="00F82BA9">
        <w:rPr>
          <w:rFonts w:ascii="Times New Roman" w:eastAsia="Times New Roman" w:hAnsi="Times New Roman" w:cs="Times New Roman"/>
          <w:color w:val="222222"/>
          <w:sz w:val="24"/>
          <w:szCs w:val="24"/>
        </w:rPr>
        <w:t xml:space="preserve"> </w:t>
      </w:r>
      <w:r w:rsidRPr="00F82BA9">
        <w:rPr>
          <w:rFonts w:ascii="Times New Roman" w:eastAsia="Times New Roman" w:hAnsi="Times New Roman" w:cs="Times New Roman"/>
          <w:color w:val="222222"/>
          <w:sz w:val="24"/>
          <w:szCs w:val="24"/>
          <w:lang w:val="en-US"/>
        </w:rPr>
        <w:t>HMD</w:t>
      </w:r>
      <w:r w:rsidR="00F82BA9" w:rsidRPr="00F82BA9">
        <w:rPr>
          <w:rFonts w:ascii="Times New Roman" w:eastAsia="Times New Roman" w:hAnsi="Times New Roman" w:cs="Times New Roman"/>
          <w:color w:val="222222"/>
          <w:sz w:val="24"/>
          <w:szCs w:val="24"/>
        </w:rPr>
        <w:t>, см. https://www.mortality.org/</w:t>
      </w:r>
    </w:p>
    <w:p w:rsidR="00F45429" w:rsidRPr="006C77BA" w:rsidRDefault="006C77BA" w:rsidP="00F45429">
      <w:pPr>
        <w:spacing w:after="0" w:line="360" w:lineRule="auto"/>
        <w:ind w:firstLine="709"/>
        <w:jc w:val="both"/>
        <w:rPr>
          <w:rFonts w:ascii="Times New Roman" w:eastAsia="Times New Roman" w:hAnsi="Times New Roman" w:cs="Times New Roman"/>
          <w:color w:val="222222"/>
          <w:sz w:val="24"/>
          <w:szCs w:val="24"/>
          <w:lang w:val="en-US"/>
        </w:rPr>
      </w:pPr>
      <w:r w:rsidRPr="006C77BA">
        <w:rPr>
          <w:rFonts w:ascii="Times New Roman" w:eastAsia="Times New Roman" w:hAnsi="Times New Roman" w:cs="Times New Roman"/>
          <w:color w:val="222222"/>
          <w:sz w:val="24"/>
          <w:szCs w:val="24"/>
          <w:lang w:val="en-US"/>
        </w:rPr>
        <w:t xml:space="preserve">In the 2010s </w:t>
      </w:r>
      <w:r>
        <w:rPr>
          <w:rFonts w:ascii="Times New Roman" w:eastAsia="Times New Roman" w:hAnsi="Times New Roman" w:cs="Times New Roman"/>
          <w:color w:val="222222"/>
          <w:sz w:val="24"/>
          <w:szCs w:val="24"/>
          <w:lang w:val="en-US"/>
        </w:rPr>
        <w:t>t</w:t>
      </w:r>
      <w:r w:rsidRPr="006C77BA">
        <w:rPr>
          <w:rFonts w:ascii="Times New Roman" w:eastAsia="Times New Roman" w:hAnsi="Times New Roman" w:cs="Times New Roman"/>
          <w:color w:val="222222"/>
          <w:sz w:val="24"/>
          <w:szCs w:val="24"/>
          <w:lang w:val="en-US"/>
        </w:rPr>
        <w:t xml:space="preserve">he general decrease in mortality contributed to a significant decrease in the seasonality of female mortality at the age of 10-14 years: from 143 in 2010 to 107 in 2019. At the same time, among men of this age group, a significant seasonality of mortality </w:t>
      </w:r>
      <w:r>
        <w:rPr>
          <w:rFonts w:ascii="Times New Roman" w:eastAsia="Times New Roman" w:hAnsi="Times New Roman" w:cs="Times New Roman"/>
          <w:color w:val="222222"/>
          <w:sz w:val="24"/>
          <w:szCs w:val="24"/>
          <w:lang w:val="en-US"/>
        </w:rPr>
        <w:t>remains</w:t>
      </w:r>
      <w:r w:rsidRPr="006C77BA">
        <w:rPr>
          <w:rFonts w:ascii="Times New Roman" w:eastAsia="Times New Roman" w:hAnsi="Times New Roman" w:cs="Times New Roman"/>
          <w:color w:val="222222"/>
          <w:sz w:val="24"/>
          <w:szCs w:val="24"/>
          <w:lang w:val="en-US"/>
        </w:rPr>
        <w:t xml:space="preserve"> (see the marked values ​​in Table</w:t>
      </w:r>
      <w:r>
        <w:rPr>
          <w:rFonts w:ascii="Times New Roman" w:eastAsia="Times New Roman" w:hAnsi="Times New Roman" w:cs="Times New Roman"/>
          <w:color w:val="222222"/>
          <w:sz w:val="24"/>
          <w:szCs w:val="24"/>
          <w:lang w:val="en-US"/>
        </w:rPr>
        <w:t xml:space="preserve"> </w:t>
      </w:r>
      <w:r w:rsidRPr="006C77BA">
        <w:rPr>
          <w:rFonts w:ascii="Times New Roman" w:eastAsia="Times New Roman" w:hAnsi="Times New Roman" w:cs="Times New Roman"/>
          <w:color w:val="222222"/>
          <w:sz w:val="24"/>
          <w:szCs w:val="24"/>
          <w:lang w:val="en-US"/>
        </w:rPr>
        <w:t>1</w:t>
      </w:r>
      <w:proofErr w:type="gramStart"/>
      <w:r w:rsidRPr="006C77BA">
        <w:rPr>
          <w:rFonts w:ascii="Times New Roman" w:eastAsia="Times New Roman" w:hAnsi="Times New Roman" w:cs="Times New Roman"/>
          <w:color w:val="222222"/>
          <w:sz w:val="24"/>
          <w:szCs w:val="24"/>
          <w:lang w:val="en-US"/>
        </w:rPr>
        <w:t>) .</w:t>
      </w:r>
      <w:proofErr w:type="gramEnd"/>
      <w:r w:rsidRPr="006C77BA">
        <w:rPr>
          <w:rFonts w:ascii="Times New Roman" w:eastAsia="Times New Roman" w:hAnsi="Times New Roman" w:cs="Times New Roman"/>
          <w:color w:val="222222"/>
          <w:sz w:val="24"/>
          <w:szCs w:val="24"/>
          <w:lang w:val="en-US"/>
        </w:rPr>
        <w:t xml:space="preserve"> In our opinion, this may be one of the consequences of child neglect during long school holidays, from which boys, who are often more active and more prone to risky behavior, may suffer more (</w:t>
      </w:r>
      <w:proofErr w:type="spellStart"/>
      <w:r w:rsidRPr="006C77BA">
        <w:rPr>
          <w:rFonts w:ascii="Times New Roman" w:eastAsia="Times New Roman" w:hAnsi="Times New Roman" w:cs="Times New Roman"/>
          <w:color w:val="222222"/>
          <w:sz w:val="24"/>
          <w:szCs w:val="24"/>
          <w:lang w:val="en-US"/>
        </w:rPr>
        <w:t>Weden</w:t>
      </w:r>
      <w:proofErr w:type="spellEnd"/>
      <w:r w:rsidRPr="006C77BA">
        <w:rPr>
          <w:rFonts w:ascii="Times New Roman" w:eastAsia="Times New Roman" w:hAnsi="Times New Roman" w:cs="Times New Roman"/>
          <w:color w:val="222222"/>
          <w:sz w:val="24"/>
          <w:szCs w:val="24"/>
          <w:lang w:val="en-US"/>
        </w:rPr>
        <w:t xml:space="preserve"> and </w:t>
      </w:r>
      <w:proofErr w:type="spellStart"/>
      <w:r w:rsidRPr="006C77BA">
        <w:rPr>
          <w:rFonts w:ascii="Times New Roman" w:eastAsia="Times New Roman" w:hAnsi="Times New Roman" w:cs="Times New Roman"/>
          <w:color w:val="222222"/>
          <w:sz w:val="24"/>
          <w:szCs w:val="24"/>
          <w:lang w:val="en-US"/>
        </w:rPr>
        <w:t>Zabin</w:t>
      </w:r>
      <w:proofErr w:type="spellEnd"/>
      <w:r w:rsidRPr="006C77BA">
        <w:rPr>
          <w:rFonts w:ascii="Times New Roman" w:eastAsia="Times New Roman" w:hAnsi="Times New Roman" w:cs="Times New Roman"/>
          <w:color w:val="222222"/>
          <w:sz w:val="24"/>
          <w:szCs w:val="24"/>
          <w:lang w:val="en-US"/>
        </w:rPr>
        <w:t xml:space="preserve"> 1998; Chun and Mobley 2010; Knyazev et al 2004; </w:t>
      </w:r>
      <w:proofErr w:type="spellStart"/>
      <w:r w:rsidRPr="006C77BA">
        <w:rPr>
          <w:rFonts w:ascii="Times New Roman" w:eastAsia="Times New Roman" w:hAnsi="Times New Roman" w:cs="Times New Roman"/>
          <w:color w:val="222222"/>
          <w:sz w:val="24"/>
          <w:szCs w:val="24"/>
          <w:lang w:val="en-US"/>
        </w:rPr>
        <w:t>Boriskin</w:t>
      </w:r>
      <w:proofErr w:type="spellEnd"/>
      <w:r w:rsidRPr="006C77BA">
        <w:rPr>
          <w:rFonts w:ascii="Times New Roman" w:eastAsia="Times New Roman" w:hAnsi="Times New Roman" w:cs="Times New Roman"/>
          <w:color w:val="222222"/>
          <w:sz w:val="24"/>
          <w:szCs w:val="24"/>
          <w:lang w:val="en-US"/>
        </w:rPr>
        <w:t xml:space="preserve"> et al. 2018). It should be especially noted that a significant excess of the number of </w:t>
      </w:r>
      <w:r w:rsidRPr="006C77BA">
        <w:rPr>
          <w:rFonts w:ascii="Times New Roman" w:eastAsia="Times New Roman" w:hAnsi="Times New Roman" w:cs="Times New Roman"/>
          <w:color w:val="222222"/>
          <w:sz w:val="24"/>
          <w:szCs w:val="24"/>
          <w:lang w:val="en-US"/>
        </w:rPr>
        <w:lastRenderedPageBreak/>
        <w:t xml:space="preserve">summer deaths over winter ones occurs against the background of a significant increase in mortality during the New Year holidays, which is concentrated, however, at older ages (Nemtsov and </w:t>
      </w:r>
      <w:proofErr w:type="spellStart"/>
      <w:r w:rsidRPr="006C77BA">
        <w:rPr>
          <w:rFonts w:ascii="Times New Roman" w:eastAsia="Times New Roman" w:hAnsi="Times New Roman" w:cs="Times New Roman"/>
          <w:color w:val="222222"/>
          <w:sz w:val="24"/>
          <w:szCs w:val="24"/>
          <w:lang w:val="en-US"/>
        </w:rPr>
        <w:t>Fattakhov</w:t>
      </w:r>
      <w:proofErr w:type="spellEnd"/>
      <w:r w:rsidRPr="006C77BA">
        <w:rPr>
          <w:rFonts w:ascii="Times New Roman" w:eastAsia="Times New Roman" w:hAnsi="Times New Roman" w:cs="Times New Roman"/>
          <w:color w:val="222222"/>
          <w:sz w:val="24"/>
          <w:szCs w:val="24"/>
          <w:lang w:val="en-US"/>
        </w:rPr>
        <w:t xml:space="preserve"> 2021).</w:t>
      </w:r>
    </w:p>
    <w:p w:rsidR="006C77BA" w:rsidRDefault="006C77BA" w:rsidP="00F45429">
      <w:pPr>
        <w:spacing w:after="0" w:line="360" w:lineRule="auto"/>
        <w:ind w:firstLine="709"/>
        <w:jc w:val="both"/>
        <w:rPr>
          <w:rFonts w:ascii="Times New Roman" w:eastAsia="Times New Roman" w:hAnsi="Times New Roman" w:cs="Times New Roman"/>
          <w:color w:val="222222"/>
          <w:sz w:val="24"/>
          <w:szCs w:val="24"/>
          <w:lang w:val="en-US"/>
        </w:rPr>
      </w:pPr>
      <w:r w:rsidRPr="006C77BA">
        <w:rPr>
          <w:rFonts w:ascii="Times New Roman" w:eastAsia="Times New Roman" w:hAnsi="Times New Roman" w:cs="Times New Roman"/>
          <w:color w:val="222222"/>
          <w:sz w:val="24"/>
          <w:szCs w:val="24"/>
          <w:lang w:val="en-US"/>
        </w:rPr>
        <w:t>Due to the relatively small number of deaths, as well as the lack of data, seasonality at younger ages in Russian data, to the best of our knowledge, has not yet been considered in detail. In this regard, the data of the Human Mortality Database are of great interest. They contain information on weekly mortality among various sex and age groups in several countries of the world, including Russia. The purpose of this study is to study in detail the seasonality of mortality at younger ages in Russia over the past twenty years and, if possible, test the hypothesis about the effect of the duration of school holidays on the range of seasonal fluctuations.</w:t>
      </w:r>
    </w:p>
    <w:p w:rsidR="006C77BA" w:rsidRDefault="006C77BA" w:rsidP="00F45429">
      <w:pPr>
        <w:spacing w:after="0" w:line="360" w:lineRule="auto"/>
        <w:ind w:firstLine="709"/>
        <w:jc w:val="both"/>
        <w:rPr>
          <w:rFonts w:ascii="Times New Roman" w:eastAsia="Times New Roman" w:hAnsi="Times New Roman" w:cs="Times New Roman"/>
          <w:color w:val="222222"/>
          <w:sz w:val="24"/>
          <w:szCs w:val="24"/>
          <w:lang w:val="en-US"/>
        </w:rPr>
      </w:pPr>
      <w:r w:rsidRPr="006C77BA">
        <w:rPr>
          <w:rFonts w:ascii="Times New Roman" w:eastAsia="Times New Roman" w:hAnsi="Times New Roman" w:cs="Times New Roman"/>
          <w:color w:val="222222"/>
          <w:sz w:val="24"/>
          <w:szCs w:val="24"/>
          <w:lang w:val="en-US"/>
        </w:rPr>
        <w:t xml:space="preserve">When analyzing seasonality, it is necessary to use correct estimates. In Table 1, we present estimates of seasonality based on a comparison of data from the initial time series of mortality without </w:t>
      </w:r>
      <w:proofErr w:type="gramStart"/>
      <w:r w:rsidRPr="006C77BA">
        <w:rPr>
          <w:rFonts w:ascii="Times New Roman" w:eastAsia="Times New Roman" w:hAnsi="Times New Roman" w:cs="Times New Roman"/>
          <w:color w:val="222222"/>
          <w:sz w:val="24"/>
          <w:szCs w:val="24"/>
          <w:lang w:val="en-US"/>
        </w:rPr>
        <w:t>taking into account</w:t>
      </w:r>
      <w:proofErr w:type="gramEnd"/>
      <w:r w:rsidRPr="006C77BA">
        <w:rPr>
          <w:rFonts w:ascii="Times New Roman" w:eastAsia="Times New Roman" w:hAnsi="Times New Roman" w:cs="Times New Roman"/>
          <w:color w:val="222222"/>
          <w:sz w:val="24"/>
          <w:szCs w:val="24"/>
          <w:lang w:val="en-US"/>
        </w:rPr>
        <w:t xml:space="preserve"> long-term changes in its dynamics (trend) and random fluctuations. In scientific practice, econometric methods are used to extract individual components from the original time series, such as trend, seasonality, and error, which makes it possible to more correctly assess seasonality and conduct intertemporal and intergroup comparisons (Asif et al. 2019; Rodionova and </w:t>
      </w:r>
      <w:proofErr w:type="spellStart"/>
      <w:r w:rsidRPr="006C77BA">
        <w:rPr>
          <w:rFonts w:ascii="Times New Roman" w:eastAsia="Times New Roman" w:hAnsi="Times New Roman" w:cs="Times New Roman"/>
          <w:color w:val="222222"/>
          <w:sz w:val="24"/>
          <w:szCs w:val="24"/>
          <w:lang w:val="en-US"/>
        </w:rPr>
        <w:t>Kopnova</w:t>
      </w:r>
      <w:proofErr w:type="spellEnd"/>
      <w:r w:rsidRPr="006C77BA">
        <w:rPr>
          <w:rFonts w:ascii="Times New Roman" w:eastAsia="Times New Roman" w:hAnsi="Times New Roman" w:cs="Times New Roman"/>
          <w:color w:val="222222"/>
          <w:sz w:val="24"/>
          <w:szCs w:val="24"/>
          <w:lang w:val="en-US"/>
        </w:rPr>
        <w:t xml:space="preserve"> 2019).</w:t>
      </w:r>
    </w:p>
    <w:p w:rsidR="006C77BA" w:rsidRPr="006C77BA" w:rsidRDefault="006C77BA" w:rsidP="006C77BA">
      <w:pPr>
        <w:spacing w:after="0" w:line="360" w:lineRule="auto"/>
        <w:ind w:firstLine="709"/>
        <w:jc w:val="both"/>
        <w:rPr>
          <w:rFonts w:ascii="Times New Roman" w:eastAsia="Times New Roman" w:hAnsi="Times New Roman" w:cs="Times New Roman"/>
          <w:color w:val="222222"/>
          <w:sz w:val="24"/>
          <w:szCs w:val="24"/>
          <w:lang w:val="en-US"/>
        </w:rPr>
      </w:pPr>
      <w:r w:rsidRPr="006C77BA">
        <w:rPr>
          <w:rFonts w:ascii="Times New Roman" w:eastAsia="Times New Roman" w:hAnsi="Times New Roman" w:cs="Times New Roman"/>
          <w:color w:val="222222"/>
          <w:sz w:val="24"/>
          <w:szCs w:val="24"/>
          <w:lang w:val="en-US"/>
        </w:rPr>
        <w:t xml:space="preserve">To assess seasonality, the </w:t>
      </w:r>
      <w:proofErr w:type="spellStart"/>
      <w:r w:rsidRPr="006C77BA">
        <w:rPr>
          <w:rFonts w:ascii="Times New Roman" w:eastAsia="Times New Roman" w:hAnsi="Times New Roman" w:cs="Times New Roman"/>
          <w:color w:val="222222"/>
          <w:sz w:val="24"/>
          <w:szCs w:val="24"/>
          <w:lang w:val="en-US"/>
        </w:rPr>
        <w:t>Tramo</w:t>
      </w:r>
      <w:proofErr w:type="spellEnd"/>
      <w:r w:rsidRPr="006C77BA">
        <w:rPr>
          <w:rFonts w:ascii="Times New Roman" w:eastAsia="Times New Roman" w:hAnsi="Times New Roman" w:cs="Times New Roman"/>
          <w:color w:val="222222"/>
          <w:sz w:val="24"/>
          <w:szCs w:val="24"/>
          <w:lang w:val="en-US"/>
        </w:rPr>
        <w:t xml:space="preserve">-Seats </w:t>
      </w:r>
      <w:r>
        <w:rPr>
          <w:rFonts w:ascii="Times New Roman" w:eastAsia="Times New Roman" w:hAnsi="Times New Roman" w:cs="Times New Roman"/>
          <w:color w:val="222222"/>
          <w:sz w:val="24"/>
          <w:szCs w:val="24"/>
          <w:lang w:val="en-US"/>
        </w:rPr>
        <w:t>method</w:t>
      </w:r>
      <w:r w:rsidRPr="006C77BA">
        <w:rPr>
          <w:rFonts w:ascii="Times New Roman" w:eastAsia="Times New Roman" w:hAnsi="Times New Roman" w:cs="Times New Roman"/>
          <w:color w:val="222222"/>
          <w:sz w:val="24"/>
          <w:szCs w:val="24"/>
          <w:lang w:val="en-US"/>
        </w:rPr>
        <w:t xml:space="preserve">, originally developed for the Bank of Spain and widely used to detect seasonality in time series, was applied to the original </w:t>
      </w:r>
      <w:r>
        <w:rPr>
          <w:rFonts w:ascii="Times New Roman" w:eastAsia="Times New Roman" w:hAnsi="Times New Roman" w:cs="Times New Roman"/>
          <w:color w:val="222222"/>
          <w:sz w:val="24"/>
          <w:szCs w:val="24"/>
          <w:lang w:val="en-US"/>
        </w:rPr>
        <w:t xml:space="preserve">mortality </w:t>
      </w:r>
      <w:r w:rsidRPr="006C77BA">
        <w:rPr>
          <w:rFonts w:ascii="Times New Roman" w:eastAsia="Times New Roman" w:hAnsi="Times New Roman" w:cs="Times New Roman"/>
          <w:color w:val="222222"/>
          <w:sz w:val="24"/>
          <w:szCs w:val="24"/>
          <w:lang w:val="en-US"/>
        </w:rPr>
        <w:t xml:space="preserve">data in 5-year sex and age groups. The calculations were carried out using the </w:t>
      </w:r>
      <w:proofErr w:type="spellStart"/>
      <w:r w:rsidRPr="006C77BA">
        <w:rPr>
          <w:rFonts w:ascii="Times New Roman" w:eastAsia="Times New Roman" w:hAnsi="Times New Roman" w:cs="Times New Roman"/>
          <w:color w:val="222222"/>
          <w:sz w:val="24"/>
          <w:szCs w:val="24"/>
          <w:lang w:val="en-US"/>
        </w:rPr>
        <w:t>JDemetra</w:t>
      </w:r>
      <w:proofErr w:type="spellEnd"/>
      <w:r w:rsidRPr="006C77BA">
        <w:rPr>
          <w:rFonts w:ascii="Times New Roman" w:eastAsia="Times New Roman" w:hAnsi="Times New Roman" w:cs="Times New Roman"/>
          <w:color w:val="222222"/>
          <w:sz w:val="24"/>
          <w:szCs w:val="24"/>
          <w:lang w:val="en-US"/>
        </w:rPr>
        <w:t xml:space="preserve"> econometric package developed by Eurostat, see https://ec.europa.eu/eurostat/cros/content/software-jdemetra_en. Using the </w:t>
      </w:r>
      <w:proofErr w:type="spellStart"/>
      <w:r w:rsidRPr="006C77BA">
        <w:rPr>
          <w:rFonts w:ascii="Times New Roman" w:eastAsia="Times New Roman" w:hAnsi="Times New Roman" w:cs="Times New Roman"/>
          <w:color w:val="222222"/>
          <w:sz w:val="24"/>
          <w:szCs w:val="24"/>
          <w:lang w:val="en-US"/>
        </w:rPr>
        <w:t>Tramo</w:t>
      </w:r>
      <w:proofErr w:type="spellEnd"/>
      <w:r w:rsidRPr="006C77BA">
        <w:rPr>
          <w:rFonts w:ascii="Times New Roman" w:eastAsia="Times New Roman" w:hAnsi="Times New Roman" w:cs="Times New Roman"/>
          <w:color w:val="222222"/>
          <w:sz w:val="24"/>
          <w:szCs w:val="24"/>
          <w:lang w:val="en-US"/>
        </w:rPr>
        <w:t>-Seats procedure, the initial series was decomposed into a trend, as well as seasonal and random (irregular) components. Seasonally adjusted was defined by us as the ratio of the observed mortality value to the trend value; in the literature, it is called the seasonal-irregular (S-I) component (</w:t>
      </w:r>
      <w:proofErr w:type="spellStart"/>
      <w:r w:rsidRPr="006C77BA">
        <w:rPr>
          <w:rFonts w:ascii="Times New Roman" w:eastAsia="Times New Roman" w:hAnsi="Times New Roman" w:cs="Times New Roman"/>
          <w:color w:val="222222"/>
          <w:sz w:val="24"/>
          <w:szCs w:val="24"/>
          <w:lang w:val="en-US"/>
        </w:rPr>
        <w:t>Grudkowska</w:t>
      </w:r>
      <w:proofErr w:type="spellEnd"/>
      <w:r w:rsidRPr="006C77BA">
        <w:rPr>
          <w:rFonts w:ascii="Times New Roman" w:eastAsia="Times New Roman" w:hAnsi="Times New Roman" w:cs="Times New Roman"/>
          <w:color w:val="222222"/>
          <w:sz w:val="24"/>
          <w:szCs w:val="24"/>
          <w:lang w:val="en-US"/>
        </w:rPr>
        <w:t xml:space="preserve"> 2015).</w:t>
      </w:r>
    </w:p>
    <w:p w:rsidR="00F45429" w:rsidRPr="00536823" w:rsidRDefault="00536823" w:rsidP="00F45429">
      <w:pPr>
        <w:spacing w:after="0" w:line="360" w:lineRule="auto"/>
        <w:ind w:firstLine="709"/>
        <w:jc w:val="both"/>
        <w:rPr>
          <w:rFonts w:ascii="Times New Roman" w:eastAsia="Times New Roman" w:hAnsi="Times New Roman" w:cs="Times New Roman"/>
          <w:color w:val="222222"/>
          <w:sz w:val="24"/>
          <w:szCs w:val="24"/>
          <w:lang w:val="en-US"/>
        </w:rPr>
      </w:pPr>
      <w:r w:rsidRPr="00536823">
        <w:rPr>
          <w:rFonts w:ascii="Times New Roman" w:eastAsia="Times New Roman" w:hAnsi="Times New Roman" w:cs="Times New Roman"/>
          <w:color w:val="222222"/>
          <w:sz w:val="24"/>
          <w:szCs w:val="24"/>
          <w:lang w:val="en-US"/>
        </w:rPr>
        <w:t>In a more detailed analysis, a reduced sample of 26 countries was used for which mortality data are available in five-year age groups at younger ages. Large countries such as the United States (only baseline mortality data for ages 0-24 are available in the HMD) and Germany (there are only data on mortality for ages 0-29) did not meet this criterion. The list of countries selected for comparison includes France, Italy, Spain, Poland, Taiwan, Chile, the Netherlands, Belgium, Greece, Czech Republic, Portugal, Sweden, Hungary, Austria, Switzerland, Bulgaria, Croatia, Denmark, Estonia, Finland, Iceland, Latvia, Lithuania, Luxembourg, Norway, Slovenia and Slovakia, as well as certain regions of the UK (England and Wales; Scotland and Northern Ireland). Due to their small population, Iceland and Luxembourg were not included in the analysis.</w:t>
      </w:r>
    </w:p>
    <w:p w:rsidR="00F45429" w:rsidRPr="00536823" w:rsidRDefault="00536823" w:rsidP="00F45429">
      <w:pPr>
        <w:spacing w:after="0" w:line="360" w:lineRule="auto"/>
        <w:ind w:firstLine="709"/>
        <w:jc w:val="both"/>
        <w:rPr>
          <w:rFonts w:ascii="Times New Roman" w:eastAsia="Times New Roman" w:hAnsi="Times New Roman" w:cs="Times New Roman"/>
          <w:color w:val="222222"/>
          <w:sz w:val="24"/>
          <w:szCs w:val="24"/>
          <w:lang w:val="en-US"/>
        </w:rPr>
      </w:pPr>
      <w:r w:rsidRPr="00536823">
        <w:rPr>
          <w:rFonts w:ascii="Times New Roman" w:eastAsia="Times New Roman" w:hAnsi="Times New Roman" w:cs="Times New Roman"/>
          <w:color w:val="222222"/>
          <w:sz w:val="24"/>
          <w:szCs w:val="24"/>
          <w:lang w:val="en-US"/>
        </w:rPr>
        <w:lastRenderedPageBreak/>
        <w:t>Table 2 provides information on the seasonality of mortality in four five-year age groups for the 10 countries in this list with the largest populations. Seasonality of mortality at the age of 10-14 years is observed in three countries - France, Poland and Russia. In Russia, it is the highest - the number of deaths in summer exceeds the number of deaths in winter by an average of 56% (in Poland - by 5%, in France, summer mortality at this age is lower). At the age of 15-19 years, seasonality is more common, in 6 cases out of 10 examined. In Russia, summer seasonality at this age is also higher than in other countries, 1.32 compared to 1.29 in Bulgaria, 1.17 in Hungary, 1.13 in Poland, 1.05 in France.</w:t>
      </w:r>
    </w:p>
    <w:p w:rsidR="00F45429" w:rsidRPr="00536823" w:rsidRDefault="00536823" w:rsidP="00F45429">
      <w:pPr>
        <w:spacing w:after="0" w:line="360" w:lineRule="auto"/>
        <w:ind w:firstLine="709"/>
        <w:jc w:val="both"/>
        <w:rPr>
          <w:rFonts w:ascii="Times New Roman" w:eastAsia="Times New Roman" w:hAnsi="Times New Roman" w:cs="Times New Roman"/>
          <w:color w:val="222222"/>
          <w:sz w:val="24"/>
          <w:szCs w:val="24"/>
          <w:lang w:val="en-US"/>
        </w:rPr>
      </w:pPr>
      <w:r w:rsidRPr="00536823">
        <w:rPr>
          <w:rFonts w:ascii="Times New Roman" w:eastAsia="Times New Roman" w:hAnsi="Times New Roman" w:cs="Times New Roman"/>
          <w:color w:val="222222"/>
          <w:sz w:val="24"/>
          <w:szCs w:val="24"/>
          <w:lang w:val="en-US"/>
        </w:rPr>
        <w:t xml:space="preserve">Table 2. </w:t>
      </w:r>
      <w:r>
        <w:rPr>
          <w:rFonts w:ascii="Times New Roman" w:eastAsia="Times New Roman" w:hAnsi="Times New Roman" w:cs="Times New Roman"/>
          <w:color w:val="222222"/>
          <w:sz w:val="24"/>
          <w:szCs w:val="24"/>
          <w:lang w:val="en-US"/>
        </w:rPr>
        <w:t>S</w:t>
      </w:r>
      <w:r w:rsidRPr="00536823">
        <w:rPr>
          <w:rFonts w:ascii="Times New Roman" w:eastAsia="Times New Roman" w:hAnsi="Times New Roman" w:cs="Times New Roman"/>
          <w:color w:val="222222"/>
          <w:sz w:val="24"/>
          <w:szCs w:val="24"/>
          <w:lang w:val="en-US"/>
        </w:rPr>
        <w:t>easonality of mortality at younger ages in selected countries, present in the Human Mortality Database</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21"/>
        <w:gridCol w:w="2134"/>
        <w:gridCol w:w="2072"/>
        <w:gridCol w:w="1314"/>
        <w:gridCol w:w="1577"/>
      </w:tblGrid>
      <w:tr w:rsidR="00F45429" w:rsidRPr="009B1E53" w:rsidTr="00536823">
        <w:trPr>
          <w:trHeight w:val="255"/>
        </w:trPr>
        <w:tc>
          <w:tcPr>
            <w:tcW w:w="1346" w:type="dxa"/>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bookmarkStart w:id="0" w:name="_Hlk105080034"/>
            <w:r>
              <w:rPr>
                <w:rFonts w:ascii="Arial" w:eastAsia="Times New Roman" w:hAnsi="Arial" w:cs="Arial"/>
                <w:sz w:val="20"/>
                <w:szCs w:val="20"/>
                <w:lang w:val="en-US" w:eastAsia="ru-RU"/>
              </w:rPr>
              <w:t>Country</w:t>
            </w:r>
          </w:p>
        </w:tc>
        <w:tc>
          <w:tcPr>
            <w:tcW w:w="930" w:type="dxa"/>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Age</w:t>
            </w:r>
          </w:p>
        </w:tc>
        <w:tc>
          <w:tcPr>
            <w:tcW w:w="2158" w:type="dxa"/>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Seasonality (yes/no)</w:t>
            </w:r>
          </w:p>
        </w:tc>
        <w:tc>
          <w:tcPr>
            <w:tcW w:w="1994" w:type="dxa"/>
            <w:shd w:val="clear" w:color="auto" w:fill="auto"/>
            <w:noWrap/>
            <w:vAlign w:val="bottom"/>
            <w:hideMark/>
          </w:tcPr>
          <w:p w:rsidR="00F45429" w:rsidRPr="009B1E53" w:rsidRDefault="00536823" w:rsidP="00ED4AD3">
            <w:pPr>
              <w:spacing w:after="0" w:line="240" w:lineRule="auto"/>
              <w:rPr>
                <w:rFonts w:ascii="Arial" w:eastAsia="Times New Roman" w:hAnsi="Arial" w:cs="Arial"/>
                <w:sz w:val="20"/>
                <w:szCs w:val="20"/>
                <w:lang w:eastAsia="ru-RU"/>
              </w:rPr>
            </w:pPr>
            <w:proofErr w:type="gramStart"/>
            <w:r>
              <w:rPr>
                <w:rFonts w:ascii="Arial" w:eastAsia="Times New Roman" w:hAnsi="Arial" w:cs="Arial"/>
                <w:sz w:val="20"/>
                <w:szCs w:val="20"/>
                <w:lang w:val="en-US" w:eastAsia="ru-RU"/>
              </w:rPr>
              <w:t>Seasonality</w:t>
            </w:r>
            <w:r w:rsidR="00F45429">
              <w:rPr>
                <w:rFonts w:ascii="Arial" w:eastAsia="Times New Roman" w:hAnsi="Arial" w:cs="Arial"/>
                <w:sz w:val="20"/>
                <w:szCs w:val="20"/>
                <w:lang w:eastAsia="ru-RU"/>
              </w:rPr>
              <w:t>(</w:t>
            </w:r>
            <w:proofErr w:type="gramEnd"/>
            <w:r>
              <w:rPr>
                <w:rFonts w:ascii="Arial" w:eastAsia="Times New Roman" w:hAnsi="Arial" w:cs="Arial"/>
                <w:sz w:val="20"/>
                <w:szCs w:val="20"/>
                <w:lang w:val="en-US" w:eastAsia="ru-RU"/>
              </w:rPr>
              <w:t>summer</w:t>
            </w:r>
            <w:r w:rsidR="00F45429">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whole year</w:t>
            </w:r>
            <w:r w:rsidR="00F45429">
              <w:rPr>
                <w:rFonts w:ascii="Arial" w:eastAsia="Times New Roman" w:hAnsi="Arial" w:cs="Arial"/>
                <w:sz w:val="20"/>
                <w:szCs w:val="20"/>
                <w:lang w:eastAsia="ru-RU"/>
              </w:rPr>
              <w:t>)</w:t>
            </w:r>
          </w:p>
        </w:tc>
        <w:tc>
          <w:tcPr>
            <w:tcW w:w="1328" w:type="dxa"/>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Month with minimal mortality</w:t>
            </w:r>
          </w:p>
        </w:tc>
        <w:tc>
          <w:tcPr>
            <w:tcW w:w="1594" w:type="dxa"/>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Month with maximum mortality</w:t>
            </w:r>
          </w:p>
        </w:tc>
      </w:tr>
      <w:tr w:rsidR="00F45429" w:rsidRPr="009B1E53" w:rsidTr="00536823">
        <w:trPr>
          <w:trHeight w:val="255"/>
        </w:trPr>
        <w:tc>
          <w:tcPr>
            <w:tcW w:w="1346" w:type="dxa"/>
            <w:shd w:val="clear" w:color="auto" w:fill="auto"/>
            <w:noWrap/>
            <w:vAlign w:val="bottom"/>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Bulgaria</w:t>
            </w:r>
          </w:p>
        </w:tc>
        <w:tc>
          <w:tcPr>
            <w:tcW w:w="930" w:type="dxa"/>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0,99</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3</w:t>
            </w:r>
          </w:p>
        </w:tc>
      </w:tr>
      <w:tr w:rsidR="00F45429" w:rsidRPr="009B1E53" w:rsidTr="00536823">
        <w:trPr>
          <w:trHeight w:val="255"/>
        </w:trPr>
        <w:tc>
          <w:tcPr>
            <w:tcW w:w="1346" w:type="dxa"/>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0,89</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5</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w:t>
            </w:r>
          </w:p>
        </w:tc>
      </w:tr>
      <w:tr w:rsidR="00F45429" w:rsidRPr="009B1E53" w:rsidTr="00536823">
        <w:trPr>
          <w:trHeight w:val="255"/>
        </w:trPr>
        <w:tc>
          <w:tcPr>
            <w:tcW w:w="1346" w:type="dxa"/>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574664">
              <w:rPr>
                <w:rFonts w:ascii="Arial" w:eastAsia="Times New Roman" w:hAnsi="Arial" w:cs="Arial"/>
                <w:color w:val="FF0000"/>
                <w:sz w:val="20"/>
                <w:szCs w:val="20"/>
                <w:lang w:eastAsia="ru-RU"/>
              </w:rPr>
              <w:t>1,29</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2</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6</w:t>
            </w:r>
          </w:p>
        </w:tc>
      </w:tr>
      <w:tr w:rsidR="00F45429" w:rsidRPr="009B1E53" w:rsidTr="00536823">
        <w:trPr>
          <w:trHeight w:val="255"/>
        </w:trPr>
        <w:tc>
          <w:tcPr>
            <w:tcW w:w="1346" w:type="dxa"/>
            <w:tcBorders>
              <w:bottom w:val="single" w:sz="8" w:space="0" w:color="auto"/>
            </w:tcBorders>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tcBorders>
              <w:bottom w:val="single" w:sz="8" w:space="0" w:color="auto"/>
            </w:tcBorders>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1,08</w:t>
            </w:r>
          </w:p>
        </w:tc>
        <w:tc>
          <w:tcPr>
            <w:tcW w:w="1328"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c>
          <w:tcPr>
            <w:tcW w:w="1594"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r w:rsidR="00F45429" w:rsidRPr="009B1E53" w:rsidTr="00536823">
        <w:trPr>
          <w:trHeight w:val="255"/>
        </w:trPr>
        <w:tc>
          <w:tcPr>
            <w:tcW w:w="1346" w:type="dxa"/>
            <w:tcBorders>
              <w:top w:val="single" w:sz="8" w:space="0" w:color="auto"/>
            </w:tcBorders>
            <w:shd w:val="clear" w:color="auto" w:fill="auto"/>
            <w:noWrap/>
            <w:vAlign w:val="bottom"/>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Hungary</w:t>
            </w:r>
          </w:p>
        </w:tc>
        <w:tc>
          <w:tcPr>
            <w:tcW w:w="930" w:type="dxa"/>
            <w:tcBorders>
              <w:top w:val="single" w:sz="8" w:space="0" w:color="auto"/>
            </w:tcBorders>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0,92</w:t>
            </w:r>
          </w:p>
        </w:tc>
        <w:tc>
          <w:tcPr>
            <w:tcW w:w="1328"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w:t>
            </w:r>
          </w:p>
        </w:tc>
        <w:tc>
          <w:tcPr>
            <w:tcW w:w="1594"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r w:rsidR="00F45429" w:rsidRPr="009B1E53" w:rsidTr="00536823">
        <w:trPr>
          <w:trHeight w:val="255"/>
        </w:trPr>
        <w:tc>
          <w:tcPr>
            <w:tcW w:w="1346" w:type="dxa"/>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1,2</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12</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9</w:t>
            </w:r>
          </w:p>
        </w:tc>
      </w:tr>
      <w:tr w:rsidR="00F45429" w:rsidRPr="009B1E53" w:rsidTr="00536823">
        <w:trPr>
          <w:trHeight w:val="255"/>
        </w:trPr>
        <w:tc>
          <w:tcPr>
            <w:tcW w:w="1346" w:type="dxa"/>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574664">
              <w:rPr>
                <w:rFonts w:ascii="Arial" w:eastAsia="Times New Roman" w:hAnsi="Arial" w:cs="Arial"/>
                <w:color w:val="FF0000"/>
                <w:sz w:val="20"/>
                <w:szCs w:val="20"/>
                <w:lang w:eastAsia="ru-RU"/>
              </w:rPr>
              <w:t>1,17</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12</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r>
      <w:tr w:rsidR="00F45429" w:rsidRPr="009B1E53" w:rsidTr="00536823">
        <w:trPr>
          <w:trHeight w:val="255"/>
        </w:trPr>
        <w:tc>
          <w:tcPr>
            <w:tcW w:w="1346" w:type="dxa"/>
            <w:tcBorders>
              <w:bottom w:val="single" w:sz="8" w:space="0" w:color="auto"/>
            </w:tcBorders>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tcBorders>
              <w:bottom w:val="single" w:sz="8" w:space="0" w:color="auto"/>
            </w:tcBorders>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1,11</w:t>
            </w:r>
          </w:p>
        </w:tc>
        <w:tc>
          <w:tcPr>
            <w:tcW w:w="1328"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4</w:t>
            </w:r>
          </w:p>
        </w:tc>
        <w:tc>
          <w:tcPr>
            <w:tcW w:w="1594"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r w:rsidR="00F45429" w:rsidRPr="009B1E53" w:rsidTr="00536823">
        <w:trPr>
          <w:trHeight w:val="255"/>
        </w:trPr>
        <w:tc>
          <w:tcPr>
            <w:tcW w:w="1346" w:type="dxa"/>
            <w:tcBorders>
              <w:top w:val="single" w:sz="8" w:space="0" w:color="auto"/>
            </w:tcBorders>
            <w:shd w:val="clear" w:color="auto" w:fill="auto"/>
            <w:noWrap/>
            <w:vAlign w:val="bottom"/>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Netherlands</w:t>
            </w:r>
          </w:p>
        </w:tc>
        <w:tc>
          <w:tcPr>
            <w:tcW w:w="930" w:type="dxa"/>
            <w:tcBorders>
              <w:top w:val="single" w:sz="8" w:space="0" w:color="auto"/>
            </w:tcBorders>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0,74</w:t>
            </w:r>
          </w:p>
        </w:tc>
        <w:tc>
          <w:tcPr>
            <w:tcW w:w="1328"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c>
          <w:tcPr>
            <w:tcW w:w="1594"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r>
      <w:tr w:rsidR="00F45429" w:rsidRPr="009B1E53" w:rsidTr="00536823">
        <w:trPr>
          <w:trHeight w:val="255"/>
        </w:trPr>
        <w:tc>
          <w:tcPr>
            <w:tcW w:w="1346" w:type="dxa"/>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0,78</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5</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2</w:t>
            </w:r>
          </w:p>
        </w:tc>
      </w:tr>
      <w:tr w:rsidR="00F45429" w:rsidRPr="009B1E53" w:rsidTr="00536823">
        <w:trPr>
          <w:trHeight w:val="255"/>
        </w:trPr>
        <w:tc>
          <w:tcPr>
            <w:tcW w:w="1346" w:type="dxa"/>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1,08</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r w:rsidR="00F45429" w:rsidRPr="009B1E53" w:rsidTr="00536823">
        <w:trPr>
          <w:trHeight w:val="255"/>
        </w:trPr>
        <w:tc>
          <w:tcPr>
            <w:tcW w:w="1346" w:type="dxa"/>
            <w:tcBorders>
              <w:bottom w:val="single" w:sz="8" w:space="0" w:color="auto"/>
            </w:tcBorders>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tcBorders>
              <w:bottom w:val="single" w:sz="8" w:space="0" w:color="auto"/>
            </w:tcBorders>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0,85</w:t>
            </w:r>
          </w:p>
        </w:tc>
        <w:tc>
          <w:tcPr>
            <w:tcW w:w="1328"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6</w:t>
            </w:r>
          </w:p>
        </w:tc>
        <w:tc>
          <w:tcPr>
            <w:tcW w:w="1594" w:type="dxa"/>
            <w:tcBorders>
              <w:bottom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r>
      <w:tr w:rsidR="00F45429" w:rsidRPr="009B1E53" w:rsidTr="00536823">
        <w:trPr>
          <w:trHeight w:val="255"/>
        </w:trPr>
        <w:tc>
          <w:tcPr>
            <w:tcW w:w="1346" w:type="dxa"/>
            <w:tcBorders>
              <w:top w:val="single" w:sz="8" w:space="0" w:color="auto"/>
            </w:tcBorders>
            <w:shd w:val="clear" w:color="auto" w:fill="auto"/>
            <w:noWrap/>
            <w:vAlign w:val="bottom"/>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Taiwan</w:t>
            </w:r>
          </w:p>
        </w:tc>
        <w:tc>
          <w:tcPr>
            <w:tcW w:w="930" w:type="dxa"/>
            <w:tcBorders>
              <w:top w:val="single" w:sz="8" w:space="0" w:color="auto"/>
            </w:tcBorders>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574664">
              <w:rPr>
                <w:rFonts w:ascii="Arial" w:eastAsia="Times New Roman" w:hAnsi="Arial" w:cs="Arial"/>
                <w:color w:val="0070C0"/>
                <w:sz w:val="20"/>
                <w:szCs w:val="20"/>
                <w:lang w:eastAsia="ru-RU"/>
              </w:rPr>
              <w:t>0,88</w:t>
            </w:r>
          </w:p>
        </w:tc>
        <w:tc>
          <w:tcPr>
            <w:tcW w:w="1328"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3</w:t>
            </w:r>
          </w:p>
        </w:tc>
        <w:tc>
          <w:tcPr>
            <w:tcW w:w="1594" w:type="dxa"/>
            <w:tcBorders>
              <w:top w:val="single" w:sz="8"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2</w:t>
            </w:r>
          </w:p>
        </w:tc>
      </w:tr>
      <w:tr w:rsidR="00F45429" w:rsidRPr="009B1E53" w:rsidTr="00536823">
        <w:trPr>
          <w:trHeight w:val="255"/>
        </w:trPr>
        <w:tc>
          <w:tcPr>
            <w:tcW w:w="1346" w:type="dxa"/>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0,98</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4</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w:t>
            </w:r>
          </w:p>
        </w:tc>
      </w:tr>
      <w:tr w:rsidR="00F45429" w:rsidRPr="009B1E53" w:rsidTr="00536823">
        <w:trPr>
          <w:trHeight w:val="255"/>
        </w:trPr>
        <w:tc>
          <w:tcPr>
            <w:tcW w:w="1346" w:type="dxa"/>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0,91</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12</w:t>
            </w:r>
          </w:p>
        </w:tc>
      </w:tr>
      <w:tr w:rsidR="00F45429" w:rsidRPr="009B1E53" w:rsidTr="00536823">
        <w:trPr>
          <w:trHeight w:val="255"/>
        </w:trPr>
        <w:tc>
          <w:tcPr>
            <w:tcW w:w="1346" w:type="dxa"/>
            <w:tcBorders>
              <w:bottom w:val="single" w:sz="12" w:space="0" w:color="auto"/>
            </w:tcBorders>
            <w:shd w:val="clear" w:color="auto" w:fill="auto"/>
            <w:noWrap/>
            <w:vAlign w:val="bottom"/>
          </w:tcPr>
          <w:p w:rsidR="00F45429" w:rsidRDefault="00F45429" w:rsidP="00ED4AD3">
            <w:pPr>
              <w:spacing w:after="0" w:line="240" w:lineRule="auto"/>
              <w:rPr>
                <w:rFonts w:ascii="Arial" w:eastAsia="Times New Roman" w:hAnsi="Arial" w:cs="Arial"/>
                <w:sz w:val="20"/>
                <w:szCs w:val="20"/>
                <w:lang w:eastAsia="ru-RU"/>
              </w:rPr>
            </w:pPr>
          </w:p>
        </w:tc>
        <w:tc>
          <w:tcPr>
            <w:tcW w:w="930" w:type="dxa"/>
            <w:tcBorders>
              <w:bottom w:val="single" w:sz="12" w:space="0" w:color="auto"/>
            </w:tcBorders>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tcBorders>
              <w:bottom w:val="single" w:sz="12"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tcBorders>
              <w:bottom w:val="single" w:sz="12"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1,04</w:t>
            </w:r>
          </w:p>
        </w:tc>
        <w:tc>
          <w:tcPr>
            <w:tcW w:w="1328" w:type="dxa"/>
            <w:tcBorders>
              <w:bottom w:val="single" w:sz="12"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c>
          <w:tcPr>
            <w:tcW w:w="1594" w:type="dxa"/>
            <w:tcBorders>
              <w:bottom w:val="single" w:sz="12"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r w:rsidR="00F45429" w:rsidRPr="009B1E53" w:rsidTr="00536823">
        <w:trPr>
          <w:trHeight w:val="255"/>
        </w:trPr>
        <w:tc>
          <w:tcPr>
            <w:tcW w:w="1346" w:type="dxa"/>
            <w:vMerge w:val="restart"/>
            <w:tcBorders>
              <w:top w:val="single" w:sz="12" w:space="0" w:color="auto"/>
            </w:tcBorders>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Spain</w:t>
            </w:r>
          </w:p>
        </w:tc>
        <w:tc>
          <w:tcPr>
            <w:tcW w:w="930" w:type="dxa"/>
            <w:tcBorders>
              <w:top w:val="single" w:sz="12" w:space="0" w:color="auto"/>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tcBorders>
              <w:top w:val="single" w:sz="12"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top w:val="single" w:sz="12"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574664">
              <w:rPr>
                <w:rFonts w:ascii="Arial" w:eastAsia="Times New Roman" w:hAnsi="Arial" w:cs="Arial"/>
                <w:color w:val="0070C0"/>
                <w:sz w:val="20"/>
                <w:szCs w:val="20"/>
                <w:lang w:eastAsia="ru-RU"/>
              </w:rPr>
              <w:t>0,89</w:t>
            </w:r>
          </w:p>
        </w:tc>
        <w:tc>
          <w:tcPr>
            <w:tcW w:w="1328" w:type="dxa"/>
            <w:tcBorders>
              <w:top w:val="single" w:sz="12"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c>
          <w:tcPr>
            <w:tcW w:w="1594" w:type="dxa"/>
            <w:tcBorders>
              <w:top w:val="single" w:sz="12" w:space="0" w:color="auto"/>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2</w:t>
            </w:r>
          </w:p>
        </w:tc>
      </w:tr>
      <w:tr w:rsidR="00F45429" w:rsidRPr="009B1E53" w:rsidTr="00536823">
        <w:trPr>
          <w:trHeight w:val="255"/>
        </w:trPr>
        <w:tc>
          <w:tcPr>
            <w:tcW w:w="1346" w:type="dxa"/>
            <w:vMerge/>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0,91</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6</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r>
      <w:tr w:rsidR="00F45429" w:rsidRPr="009B1E53" w:rsidTr="00536823">
        <w:trPr>
          <w:trHeight w:val="255"/>
        </w:trPr>
        <w:tc>
          <w:tcPr>
            <w:tcW w:w="1346" w:type="dxa"/>
            <w:vMerge/>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0,97</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r>
      <w:tr w:rsidR="00F45429" w:rsidRPr="009B1E53" w:rsidTr="00536823">
        <w:trPr>
          <w:trHeight w:val="255"/>
        </w:trPr>
        <w:tc>
          <w:tcPr>
            <w:tcW w:w="1346" w:type="dxa"/>
            <w:vMerge/>
            <w:tcBorders>
              <w:bottom w:val="single" w:sz="12" w:space="0" w:color="000000"/>
            </w:tcBorders>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tcBorders>
              <w:bottom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1,01</w:t>
            </w:r>
          </w:p>
        </w:tc>
        <w:tc>
          <w:tcPr>
            <w:tcW w:w="132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w:t>
            </w:r>
          </w:p>
        </w:tc>
        <w:tc>
          <w:tcPr>
            <w:tcW w:w="1594"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r w:rsidR="00F45429" w:rsidRPr="009B1E53" w:rsidTr="00536823">
        <w:trPr>
          <w:trHeight w:val="255"/>
        </w:trPr>
        <w:tc>
          <w:tcPr>
            <w:tcW w:w="1346" w:type="dxa"/>
            <w:vMerge w:val="restart"/>
            <w:tcBorders>
              <w:top w:val="single" w:sz="12" w:space="0" w:color="000000"/>
            </w:tcBorders>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Italy</w:t>
            </w:r>
          </w:p>
        </w:tc>
        <w:tc>
          <w:tcPr>
            <w:tcW w:w="930" w:type="dxa"/>
            <w:tcBorders>
              <w:top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1,07</w:t>
            </w:r>
          </w:p>
        </w:tc>
        <w:tc>
          <w:tcPr>
            <w:tcW w:w="132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9</w:t>
            </w:r>
          </w:p>
        </w:tc>
        <w:tc>
          <w:tcPr>
            <w:tcW w:w="1594"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r>
      <w:tr w:rsidR="00F45429" w:rsidRPr="009B1E53" w:rsidTr="00536823">
        <w:trPr>
          <w:trHeight w:val="255"/>
        </w:trPr>
        <w:tc>
          <w:tcPr>
            <w:tcW w:w="1346" w:type="dxa"/>
            <w:vMerge/>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0,96</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4</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r>
      <w:tr w:rsidR="00F45429" w:rsidRPr="009B1E53" w:rsidTr="00536823">
        <w:trPr>
          <w:trHeight w:val="255"/>
        </w:trPr>
        <w:tc>
          <w:tcPr>
            <w:tcW w:w="1346" w:type="dxa"/>
            <w:vMerge/>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1,16</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3</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r w:rsidR="00F45429" w:rsidRPr="009B1E53" w:rsidTr="00536823">
        <w:trPr>
          <w:trHeight w:val="255"/>
        </w:trPr>
        <w:tc>
          <w:tcPr>
            <w:tcW w:w="1346" w:type="dxa"/>
            <w:vMerge/>
            <w:tcBorders>
              <w:bottom w:val="single" w:sz="12" w:space="0" w:color="000000"/>
            </w:tcBorders>
            <w:shd w:val="clear" w:color="auto" w:fill="auto"/>
            <w:noWrap/>
            <w:vAlign w:val="bottom"/>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tcBorders>
              <w:bottom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574664">
              <w:rPr>
                <w:rFonts w:ascii="Arial" w:eastAsia="Times New Roman" w:hAnsi="Arial" w:cs="Arial"/>
                <w:color w:val="FF0000"/>
                <w:sz w:val="20"/>
                <w:szCs w:val="20"/>
                <w:lang w:eastAsia="ru-RU"/>
              </w:rPr>
              <w:t>1,14</w:t>
            </w:r>
          </w:p>
        </w:tc>
        <w:tc>
          <w:tcPr>
            <w:tcW w:w="132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4</w:t>
            </w:r>
          </w:p>
        </w:tc>
        <w:tc>
          <w:tcPr>
            <w:tcW w:w="1594"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r>
      <w:tr w:rsidR="00F45429" w:rsidRPr="009B1E53" w:rsidTr="00536823">
        <w:trPr>
          <w:trHeight w:val="255"/>
        </w:trPr>
        <w:tc>
          <w:tcPr>
            <w:tcW w:w="1346" w:type="dxa"/>
            <w:vMerge w:val="restart"/>
            <w:tcBorders>
              <w:top w:val="single" w:sz="12" w:space="0" w:color="000000"/>
            </w:tcBorders>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eastAsia="ru-RU"/>
              </w:rPr>
            </w:pPr>
            <w:r>
              <w:rPr>
                <w:rFonts w:ascii="Arial" w:eastAsia="Times New Roman" w:hAnsi="Arial" w:cs="Arial"/>
                <w:sz w:val="20"/>
                <w:szCs w:val="20"/>
                <w:lang w:val="en-US" w:eastAsia="ru-RU"/>
              </w:rPr>
              <w:t>Chile</w:t>
            </w:r>
          </w:p>
        </w:tc>
        <w:tc>
          <w:tcPr>
            <w:tcW w:w="930" w:type="dxa"/>
            <w:tcBorders>
              <w:top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1,27</w:t>
            </w:r>
          </w:p>
        </w:tc>
        <w:tc>
          <w:tcPr>
            <w:tcW w:w="132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3</w:t>
            </w:r>
          </w:p>
        </w:tc>
        <w:tc>
          <w:tcPr>
            <w:tcW w:w="1594"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r>
      <w:tr w:rsidR="00F45429" w:rsidRPr="009B1E53" w:rsidTr="00536823">
        <w:trPr>
          <w:trHeight w:val="255"/>
        </w:trPr>
        <w:tc>
          <w:tcPr>
            <w:tcW w:w="1346" w:type="dxa"/>
            <w:vMerge/>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1,03</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9</w:t>
            </w:r>
          </w:p>
        </w:tc>
      </w:tr>
      <w:tr w:rsidR="00F45429" w:rsidRPr="009B1E53" w:rsidTr="00536823">
        <w:trPr>
          <w:trHeight w:val="255"/>
        </w:trPr>
        <w:tc>
          <w:tcPr>
            <w:tcW w:w="1346" w:type="dxa"/>
            <w:vMerge/>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1,12</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3</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6</w:t>
            </w:r>
          </w:p>
        </w:tc>
      </w:tr>
      <w:tr w:rsidR="00F45429" w:rsidRPr="009B1E53" w:rsidTr="00536823">
        <w:trPr>
          <w:trHeight w:val="255"/>
        </w:trPr>
        <w:tc>
          <w:tcPr>
            <w:tcW w:w="1346" w:type="dxa"/>
            <w:vMerge/>
            <w:tcBorders>
              <w:bottom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tcBorders>
              <w:bottom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w:t>
            </w:r>
          </w:p>
        </w:tc>
        <w:tc>
          <w:tcPr>
            <w:tcW w:w="1994"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w:t>
            </w:r>
          </w:p>
        </w:tc>
        <w:tc>
          <w:tcPr>
            <w:tcW w:w="132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3</w:t>
            </w:r>
          </w:p>
        </w:tc>
        <w:tc>
          <w:tcPr>
            <w:tcW w:w="1594"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2</w:t>
            </w:r>
          </w:p>
        </w:tc>
      </w:tr>
      <w:tr w:rsidR="00F45429" w:rsidRPr="009B1E53" w:rsidTr="00536823">
        <w:trPr>
          <w:trHeight w:val="255"/>
        </w:trPr>
        <w:tc>
          <w:tcPr>
            <w:tcW w:w="1346" w:type="dxa"/>
            <w:vMerge w:val="restart"/>
            <w:tcBorders>
              <w:top w:val="single" w:sz="12" w:space="0" w:color="000000"/>
            </w:tcBorders>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Poland</w:t>
            </w:r>
          </w:p>
        </w:tc>
        <w:tc>
          <w:tcPr>
            <w:tcW w:w="930" w:type="dxa"/>
            <w:tcBorders>
              <w:top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1,06</w:t>
            </w:r>
          </w:p>
        </w:tc>
        <w:tc>
          <w:tcPr>
            <w:tcW w:w="132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9</w:t>
            </w:r>
          </w:p>
        </w:tc>
        <w:tc>
          <w:tcPr>
            <w:tcW w:w="1594"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w:t>
            </w:r>
          </w:p>
        </w:tc>
      </w:tr>
      <w:tr w:rsidR="00F45429" w:rsidRPr="009B1E53" w:rsidTr="00536823">
        <w:trPr>
          <w:trHeight w:val="255"/>
        </w:trPr>
        <w:tc>
          <w:tcPr>
            <w:tcW w:w="1346" w:type="dxa"/>
            <w:vMerge/>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1,05</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r>
      <w:tr w:rsidR="00F45429" w:rsidRPr="009B1E53" w:rsidTr="00536823">
        <w:trPr>
          <w:trHeight w:val="255"/>
        </w:trPr>
        <w:tc>
          <w:tcPr>
            <w:tcW w:w="1346" w:type="dxa"/>
            <w:vMerge/>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574664" w:rsidRDefault="00F45429" w:rsidP="00ED4AD3">
            <w:pPr>
              <w:spacing w:after="0" w:line="240" w:lineRule="auto"/>
              <w:rPr>
                <w:rFonts w:ascii="Arial" w:eastAsia="Times New Roman" w:hAnsi="Arial" w:cs="Arial"/>
                <w:color w:val="FF0000"/>
                <w:sz w:val="20"/>
                <w:szCs w:val="20"/>
                <w:lang w:eastAsia="ru-RU"/>
              </w:rPr>
            </w:pPr>
            <w:r w:rsidRPr="00574664">
              <w:rPr>
                <w:rFonts w:ascii="Arial" w:eastAsia="Times New Roman" w:hAnsi="Arial" w:cs="Arial"/>
                <w:color w:val="FF0000"/>
                <w:sz w:val="20"/>
                <w:szCs w:val="20"/>
                <w:lang w:eastAsia="ru-RU"/>
              </w:rPr>
              <w:t>1,13</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4</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r>
      <w:tr w:rsidR="00F45429" w:rsidRPr="009B1E53" w:rsidTr="00536823">
        <w:trPr>
          <w:trHeight w:val="255"/>
        </w:trPr>
        <w:tc>
          <w:tcPr>
            <w:tcW w:w="1346" w:type="dxa"/>
            <w:vMerge/>
            <w:tcBorders>
              <w:bottom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tcBorders>
              <w:bottom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bottom w:val="single" w:sz="12" w:space="0" w:color="000000"/>
            </w:tcBorders>
            <w:shd w:val="clear" w:color="auto" w:fill="auto"/>
            <w:noWrap/>
            <w:vAlign w:val="bottom"/>
          </w:tcPr>
          <w:p w:rsidR="00F45429" w:rsidRPr="00574664" w:rsidRDefault="00F45429" w:rsidP="00ED4AD3">
            <w:pPr>
              <w:spacing w:after="0" w:line="240" w:lineRule="auto"/>
              <w:rPr>
                <w:rFonts w:ascii="Arial" w:eastAsia="Times New Roman" w:hAnsi="Arial" w:cs="Arial"/>
                <w:color w:val="FF0000"/>
                <w:sz w:val="20"/>
                <w:szCs w:val="20"/>
                <w:lang w:eastAsia="ru-RU"/>
              </w:rPr>
            </w:pPr>
            <w:r w:rsidRPr="00574664">
              <w:rPr>
                <w:rFonts w:ascii="Arial" w:eastAsia="Times New Roman" w:hAnsi="Arial" w:cs="Arial"/>
                <w:color w:val="FF0000"/>
                <w:sz w:val="20"/>
                <w:szCs w:val="20"/>
                <w:lang w:eastAsia="ru-RU"/>
              </w:rPr>
              <w:t>1,17</w:t>
            </w:r>
          </w:p>
        </w:tc>
        <w:tc>
          <w:tcPr>
            <w:tcW w:w="132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12</w:t>
            </w:r>
          </w:p>
        </w:tc>
        <w:tc>
          <w:tcPr>
            <w:tcW w:w="1594"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r>
      <w:tr w:rsidR="00F45429" w:rsidRPr="009B1E53" w:rsidTr="00536823">
        <w:trPr>
          <w:trHeight w:val="255"/>
        </w:trPr>
        <w:tc>
          <w:tcPr>
            <w:tcW w:w="1346" w:type="dxa"/>
            <w:vMerge w:val="restart"/>
            <w:tcBorders>
              <w:top w:val="single" w:sz="12" w:space="0" w:color="000000"/>
            </w:tcBorders>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France</w:t>
            </w:r>
          </w:p>
        </w:tc>
        <w:tc>
          <w:tcPr>
            <w:tcW w:w="930" w:type="dxa"/>
            <w:tcBorders>
              <w:top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0,96</w:t>
            </w:r>
          </w:p>
        </w:tc>
        <w:tc>
          <w:tcPr>
            <w:tcW w:w="132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6</w:t>
            </w:r>
          </w:p>
        </w:tc>
        <w:tc>
          <w:tcPr>
            <w:tcW w:w="1594"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4</w:t>
            </w:r>
          </w:p>
        </w:tc>
      </w:tr>
      <w:tr w:rsidR="00F45429" w:rsidRPr="009B1E53" w:rsidTr="00536823">
        <w:trPr>
          <w:trHeight w:val="255"/>
        </w:trPr>
        <w:tc>
          <w:tcPr>
            <w:tcW w:w="1346" w:type="dxa"/>
            <w:vMerge/>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0,96</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2</w:t>
            </w:r>
          </w:p>
        </w:tc>
      </w:tr>
      <w:tr w:rsidR="00F45429" w:rsidRPr="009B1E53" w:rsidTr="00536823">
        <w:trPr>
          <w:trHeight w:val="255"/>
        </w:trPr>
        <w:tc>
          <w:tcPr>
            <w:tcW w:w="1346" w:type="dxa"/>
            <w:vMerge/>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1,05</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4</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8</w:t>
            </w:r>
          </w:p>
        </w:tc>
      </w:tr>
      <w:tr w:rsidR="00F45429" w:rsidRPr="009B1E53" w:rsidTr="00536823">
        <w:trPr>
          <w:trHeight w:val="255"/>
        </w:trPr>
        <w:tc>
          <w:tcPr>
            <w:tcW w:w="1346" w:type="dxa"/>
            <w:vMerge/>
            <w:tcBorders>
              <w:bottom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tcBorders>
              <w:bottom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1,06</w:t>
            </w:r>
          </w:p>
        </w:tc>
        <w:tc>
          <w:tcPr>
            <w:tcW w:w="1328"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c>
          <w:tcPr>
            <w:tcW w:w="1594" w:type="dxa"/>
            <w:tcBorders>
              <w:bottom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r w:rsidR="00F45429" w:rsidRPr="009B1E53" w:rsidTr="00536823">
        <w:trPr>
          <w:trHeight w:val="255"/>
        </w:trPr>
        <w:tc>
          <w:tcPr>
            <w:tcW w:w="1346" w:type="dxa"/>
            <w:vMerge w:val="restart"/>
            <w:tcBorders>
              <w:top w:val="single" w:sz="12" w:space="0" w:color="000000"/>
            </w:tcBorders>
            <w:shd w:val="clear" w:color="auto" w:fill="auto"/>
            <w:noWrap/>
            <w:vAlign w:val="bottom"/>
            <w:hideMark/>
          </w:tcPr>
          <w:p w:rsidR="00F45429" w:rsidRPr="00536823" w:rsidRDefault="00536823" w:rsidP="00ED4AD3">
            <w:pPr>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lastRenderedPageBreak/>
              <w:t>Russia</w:t>
            </w:r>
          </w:p>
        </w:tc>
        <w:tc>
          <w:tcPr>
            <w:tcW w:w="930" w:type="dxa"/>
            <w:tcBorders>
              <w:top w:val="single" w:sz="12" w:space="0" w:color="000000"/>
            </w:tcBorders>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5-9</w:t>
            </w:r>
          </w:p>
        </w:tc>
        <w:tc>
          <w:tcPr>
            <w:tcW w:w="215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tcBorders>
              <w:top w:val="single" w:sz="12" w:space="0" w:color="000000"/>
            </w:tcBorders>
            <w:shd w:val="clear" w:color="auto" w:fill="auto"/>
            <w:noWrap/>
            <w:vAlign w:val="bottom"/>
          </w:tcPr>
          <w:p w:rsidR="00F45429" w:rsidRPr="00574664" w:rsidRDefault="00F45429" w:rsidP="00ED4AD3">
            <w:pPr>
              <w:spacing w:after="0" w:line="240" w:lineRule="auto"/>
              <w:rPr>
                <w:rFonts w:ascii="Arial" w:eastAsia="Times New Roman" w:hAnsi="Arial" w:cs="Arial"/>
                <w:color w:val="FF0000"/>
                <w:sz w:val="20"/>
                <w:szCs w:val="20"/>
                <w:lang w:eastAsia="ru-RU"/>
              </w:rPr>
            </w:pPr>
            <w:r w:rsidRPr="00574664">
              <w:rPr>
                <w:rFonts w:ascii="Arial" w:eastAsia="Times New Roman" w:hAnsi="Arial" w:cs="Arial"/>
                <w:color w:val="FF0000"/>
                <w:sz w:val="20"/>
                <w:szCs w:val="20"/>
                <w:lang w:eastAsia="ru-RU"/>
              </w:rPr>
              <w:t>1,29</w:t>
            </w:r>
          </w:p>
        </w:tc>
        <w:tc>
          <w:tcPr>
            <w:tcW w:w="1328"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11</w:t>
            </w:r>
          </w:p>
        </w:tc>
        <w:tc>
          <w:tcPr>
            <w:tcW w:w="1594" w:type="dxa"/>
            <w:tcBorders>
              <w:top w:val="single" w:sz="12" w:space="0" w:color="000000"/>
            </w:tcBorders>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r w:rsidR="00F45429" w:rsidRPr="009B1E53" w:rsidTr="00536823">
        <w:trPr>
          <w:trHeight w:val="255"/>
        </w:trPr>
        <w:tc>
          <w:tcPr>
            <w:tcW w:w="1346" w:type="dxa"/>
            <w:vMerge/>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10-14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574664" w:rsidRDefault="00F45429" w:rsidP="00ED4AD3">
            <w:pPr>
              <w:spacing w:after="0" w:line="240" w:lineRule="auto"/>
              <w:rPr>
                <w:rFonts w:ascii="Arial" w:eastAsia="Times New Roman" w:hAnsi="Arial" w:cs="Arial"/>
                <w:color w:val="FF0000"/>
                <w:sz w:val="20"/>
                <w:szCs w:val="20"/>
                <w:lang w:eastAsia="ru-RU"/>
              </w:rPr>
            </w:pPr>
            <w:r w:rsidRPr="00574664">
              <w:rPr>
                <w:rFonts w:ascii="Arial" w:eastAsia="Times New Roman" w:hAnsi="Arial" w:cs="Arial"/>
                <w:color w:val="FF0000"/>
                <w:sz w:val="20"/>
                <w:szCs w:val="20"/>
                <w:lang w:eastAsia="ru-RU"/>
              </w:rPr>
              <w:t>1,56</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12</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6</w:t>
            </w:r>
          </w:p>
        </w:tc>
      </w:tr>
      <w:tr w:rsidR="00F45429" w:rsidRPr="009B1E53" w:rsidTr="00536823">
        <w:trPr>
          <w:trHeight w:val="255"/>
        </w:trPr>
        <w:tc>
          <w:tcPr>
            <w:tcW w:w="1346" w:type="dxa"/>
            <w:vMerge/>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15-19</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574664" w:rsidRDefault="00F45429" w:rsidP="00ED4AD3">
            <w:pPr>
              <w:spacing w:after="0" w:line="240" w:lineRule="auto"/>
              <w:rPr>
                <w:rFonts w:ascii="Arial" w:eastAsia="Times New Roman" w:hAnsi="Arial" w:cs="Arial"/>
                <w:color w:val="FF0000"/>
                <w:sz w:val="20"/>
                <w:szCs w:val="20"/>
                <w:lang w:eastAsia="ru-RU"/>
              </w:rPr>
            </w:pPr>
            <w:r w:rsidRPr="00574664">
              <w:rPr>
                <w:rFonts w:ascii="Arial" w:eastAsia="Times New Roman" w:hAnsi="Arial" w:cs="Arial"/>
                <w:color w:val="FF0000"/>
                <w:sz w:val="20"/>
                <w:szCs w:val="20"/>
                <w:lang w:eastAsia="ru-RU"/>
              </w:rPr>
              <w:t>1,32</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2</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6</w:t>
            </w:r>
          </w:p>
        </w:tc>
      </w:tr>
      <w:tr w:rsidR="00F45429" w:rsidRPr="009B1E53" w:rsidTr="00536823">
        <w:trPr>
          <w:trHeight w:val="255"/>
        </w:trPr>
        <w:tc>
          <w:tcPr>
            <w:tcW w:w="1346" w:type="dxa"/>
            <w:vMerge/>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p>
        </w:tc>
        <w:tc>
          <w:tcPr>
            <w:tcW w:w="930" w:type="dxa"/>
            <w:shd w:val="clear" w:color="auto" w:fill="auto"/>
            <w:noWrap/>
            <w:vAlign w:val="bottom"/>
            <w:hideMark/>
          </w:tcPr>
          <w:p w:rsidR="00F45429" w:rsidRPr="009B1E53" w:rsidRDefault="00F45429" w:rsidP="00ED4AD3">
            <w:pPr>
              <w:spacing w:after="0" w:line="240" w:lineRule="auto"/>
              <w:rPr>
                <w:rFonts w:ascii="Arial" w:eastAsia="Times New Roman" w:hAnsi="Arial" w:cs="Arial"/>
                <w:sz w:val="20"/>
                <w:szCs w:val="20"/>
                <w:lang w:eastAsia="ru-RU"/>
              </w:rPr>
            </w:pPr>
            <w:r w:rsidRPr="009B1E53">
              <w:rPr>
                <w:rFonts w:ascii="Arial" w:eastAsia="Times New Roman" w:hAnsi="Arial" w:cs="Arial"/>
                <w:sz w:val="20"/>
                <w:szCs w:val="20"/>
                <w:lang w:eastAsia="ru-RU"/>
              </w:rPr>
              <w:t>20-24</w:t>
            </w:r>
          </w:p>
        </w:tc>
        <w:tc>
          <w:tcPr>
            <w:tcW w:w="215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1</w:t>
            </w:r>
          </w:p>
        </w:tc>
        <w:tc>
          <w:tcPr>
            <w:tcW w:w="1994" w:type="dxa"/>
            <w:shd w:val="clear" w:color="auto" w:fill="auto"/>
            <w:noWrap/>
            <w:vAlign w:val="bottom"/>
          </w:tcPr>
          <w:p w:rsidR="00F45429" w:rsidRPr="00574664" w:rsidRDefault="00F45429" w:rsidP="00ED4AD3">
            <w:pPr>
              <w:spacing w:after="0" w:line="240" w:lineRule="auto"/>
              <w:rPr>
                <w:rFonts w:ascii="Arial" w:eastAsia="Times New Roman" w:hAnsi="Arial" w:cs="Arial"/>
                <w:color w:val="FF0000"/>
                <w:sz w:val="20"/>
                <w:szCs w:val="20"/>
                <w:lang w:eastAsia="ru-RU"/>
              </w:rPr>
            </w:pPr>
            <w:r w:rsidRPr="00574664">
              <w:rPr>
                <w:rFonts w:ascii="Arial" w:eastAsia="Times New Roman" w:hAnsi="Arial" w:cs="Arial"/>
                <w:color w:val="FF0000"/>
                <w:sz w:val="20"/>
                <w:szCs w:val="20"/>
                <w:lang w:eastAsia="ru-RU"/>
              </w:rPr>
              <w:t>1,24</w:t>
            </w:r>
          </w:p>
        </w:tc>
        <w:tc>
          <w:tcPr>
            <w:tcW w:w="1328"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2</w:t>
            </w:r>
          </w:p>
        </w:tc>
        <w:tc>
          <w:tcPr>
            <w:tcW w:w="1594" w:type="dxa"/>
            <w:shd w:val="clear" w:color="auto" w:fill="auto"/>
            <w:noWrap/>
            <w:vAlign w:val="bottom"/>
          </w:tcPr>
          <w:p w:rsidR="00F45429" w:rsidRPr="00F21405" w:rsidRDefault="00F45429" w:rsidP="00ED4AD3">
            <w:pPr>
              <w:spacing w:after="0" w:line="240" w:lineRule="auto"/>
              <w:rPr>
                <w:rFonts w:ascii="Arial" w:eastAsia="Times New Roman" w:hAnsi="Arial" w:cs="Arial"/>
                <w:sz w:val="20"/>
                <w:szCs w:val="20"/>
                <w:lang w:eastAsia="ru-RU"/>
              </w:rPr>
            </w:pPr>
            <w:r w:rsidRPr="00F21405">
              <w:rPr>
                <w:rFonts w:ascii="Arial" w:eastAsia="Times New Roman" w:hAnsi="Arial" w:cs="Arial"/>
                <w:sz w:val="20"/>
                <w:szCs w:val="20"/>
                <w:lang w:eastAsia="ru-RU"/>
              </w:rPr>
              <w:t>7</w:t>
            </w:r>
          </w:p>
        </w:tc>
      </w:tr>
    </w:tbl>
    <w:bookmarkEnd w:id="0"/>
    <w:p w:rsidR="00F45429" w:rsidRPr="00536823" w:rsidRDefault="00536823" w:rsidP="00F45429">
      <w:pPr>
        <w:spacing w:after="0" w:line="360" w:lineRule="auto"/>
        <w:ind w:firstLine="709"/>
        <w:jc w:val="both"/>
        <w:rPr>
          <w:rFonts w:ascii="Times New Roman" w:eastAsia="Times New Roman" w:hAnsi="Times New Roman" w:cs="Times New Roman"/>
          <w:color w:val="222222"/>
          <w:sz w:val="24"/>
          <w:szCs w:val="24"/>
          <w:lang w:val="en-US"/>
        </w:rPr>
      </w:pPr>
      <w:r w:rsidRPr="00536823">
        <w:rPr>
          <w:rFonts w:ascii="Times New Roman" w:eastAsia="Times New Roman" w:hAnsi="Times New Roman" w:cs="Times New Roman"/>
          <w:color w:val="222222"/>
          <w:sz w:val="24"/>
          <w:szCs w:val="24"/>
          <w:lang w:val="en-US"/>
        </w:rPr>
        <w:t>Why are children and young adults in Russia more likely to die at a more favorable climate? The answer is obvious - unlike the elderly, they mostly die from external causes, the mortality from which often reaches peak values ​​in the warm season. But does the length of summer school holidays affect child and young adult mortality? Figure 1 is a graphical representation of the duration of the summer school holidays and the summer-winter seasonality factor for the 38 countries represented in the HMD database. Blue in the figure indicates observations for countries with significant winter seasonality (mortality is lower in summer than in winter), red for countries with summer seasonality (mortality is higher in summer), and gray for countries in which the seasonality of child mortality turned out to be insignificant.</w:t>
      </w:r>
    </w:p>
    <w:p w:rsidR="00536823" w:rsidRDefault="00536823" w:rsidP="002341B4">
      <w:pPr>
        <w:rPr>
          <w:rFonts w:ascii="Times New Roman" w:eastAsia="Times New Roman" w:hAnsi="Times New Roman" w:cs="Times New Roman"/>
          <w:color w:val="222222"/>
          <w:sz w:val="24"/>
          <w:szCs w:val="24"/>
          <w:lang w:val="en-US"/>
        </w:rPr>
      </w:pPr>
      <w:r w:rsidRPr="00536823">
        <w:rPr>
          <w:rFonts w:ascii="Times New Roman" w:eastAsia="Times New Roman" w:hAnsi="Times New Roman" w:cs="Times New Roman"/>
          <w:color w:val="222222"/>
          <w:sz w:val="24"/>
          <w:szCs w:val="24"/>
          <w:lang w:val="en-US"/>
        </w:rPr>
        <w:t xml:space="preserve">Figure 1. Summer vacation duration and seasonality of mortality </w:t>
      </w:r>
      <w:r>
        <w:rPr>
          <w:rFonts w:ascii="Times New Roman" w:eastAsia="Times New Roman" w:hAnsi="Times New Roman" w:cs="Times New Roman"/>
          <w:color w:val="222222"/>
          <w:sz w:val="24"/>
          <w:szCs w:val="24"/>
          <w:lang w:val="en-US"/>
        </w:rPr>
        <w:t>in age group</w:t>
      </w:r>
      <w:r w:rsidRPr="00536823">
        <w:rPr>
          <w:rFonts w:ascii="Times New Roman" w:eastAsia="Times New Roman" w:hAnsi="Times New Roman" w:cs="Times New Roman"/>
          <w:color w:val="222222"/>
          <w:sz w:val="24"/>
          <w:szCs w:val="24"/>
          <w:lang w:val="en-US"/>
        </w:rPr>
        <w:t xml:space="preserve"> 0-14 year</w:t>
      </w:r>
      <w:r>
        <w:rPr>
          <w:rFonts w:ascii="Times New Roman" w:eastAsia="Times New Roman" w:hAnsi="Times New Roman" w:cs="Times New Roman"/>
          <w:color w:val="222222"/>
          <w:sz w:val="24"/>
          <w:szCs w:val="24"/>
          <w:lang w:val="en-US"/>
        </w:rPr>
        <w:t>s</w:t>
      </w:r>
      <w:bookmarkStart w:id="1" w:name="_GoBack"/>
      <w:bookmarkEnd w:id="1"/>
      <w:r w:rsidRPr="00536823">
        <w:rPr>
          <w:rFonts w:ascii="Times New Roman" w:eastAsia="Times New Roman" w:hAnsi="Times New Roman" w:cs="Times New Roman"/>
          <w:color w:val="222222"/>
          <w:sz w:val="24"/>
          <w:szCs w:val="24"/>
          <w:lang w:val="en-US"/>
        </w:rPr>
        <w:t xml:space="preserve"> </w:t>
      </w:r>
      <w:proofErr w:type="spellStart"/>
      <w:r w:rsidRPr="00536823">
        <w:rPr>
          <w:rFonts w:ascii="Times New Roman" w:eastAsia="Times New Roman" w:hAnsi="Times New Roman" w:cs="Times New Roman"/>
          <w:color w:val="222222"/>
          <w:sz w:val="24"/>
          <w:szCs w:val="24"/>
          <w:lang w:val="en-US"/>
        </w:rPr>
        <w:t>in 3</w:t>
      </w:r>
      <w:proofErr w:type="spellEnd"/>
      <w:r w:rsidRPr="00536823">
        <w:rPr>
          <w:rFonts w:ascii="Times New Roman" w:eastAsia="Times New Roman" w:hAnsi="Times New Roman" w:cs="Times New Roman"/>
          <w:color w:val="222222"/>
          <w:sz w:val="24"/>
          <w:szCs w:val="24"/>
          <w:lang w:val="en-US"/>
        </w:rPr>
        <w:t>8 countries represented in the HMD database</w:t>
      </w:r>
      <w:r>
        <w:rPr>
          <w:rFonts w:ascii="Times New Roman" w:eastAsia="Times New Roman" w:hAnsi="Times New Roman" w:cs="Times New Roman"/>
          <w:color w:val="222222"/>
          <w:sz w:val="24"/>
          <w:szCs w:val="24"/>
          <w:lang w:val="en-US"/>
        </w:rPr>
        <w:t xml:space="preserve"> </w:t>
      </w:r>
    </w:p>
    <w:p w:rsidR="002341B4" w:rsidRPr="00536823" w:rsidRDefault="002341B4" w:rsidP="002341B4">
      <w:pPr>
        <w:rPr>
          <w:lang w:val="en-US"/>
        </w:rPr>
      </w:pPr>
      <w:r>
        <w:rPr>
          <w:noProof/>
          <w:lang w:eastAsia="ru-RU"/>
        </w:rPr>
        <w:drawing>
          <wp:inline distT="0" distB="0" distL="0" distR="0" wp14:anchorId="61BE958A" wp14:editId="677BBCAD">
            <wp:extent cx="2798466" cy="2023989"/>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88967" cy="2089444"/>
                    </a:xfrm>
                    <a:prstGeom prst="rect">
                      <a:avLst/>
                    </a:prstGeom>
                  </pic:spPr>
                </pic:pic>
              </a:graphicData>
            </a:graphic>
          </wp:inline>
        </w:drawing>
      </w:r>
      <w:r w:rsidRPr="00536823">
        <w:rPr>
          <w:noProof/>
          <w:lang w:val="en-US"/>
        </w:rPr>
        <w:t xml:space="preserve">  </w:t>
      </w:r>
      <w:r w:rsidRPr="00536823">
        <w:rPr>
          <w:lang w:val="en-US"/>
        </w:rPr>
        <w:t xml:space="preserve">   </w:t>
      </w:r>
      <w:r>
        <w:rPr>
          <w:noProof/>
          <w:lang w:eastAsia="ru-RU"/>
        </w:rPr>
        <w:drawing>
          <wp:inline distT="0" distB="0" distL="0" distR="0" wp14:anchorId="1102281F" wp14:editId="1AC9D6A0">
            <wp:extent cx="2795759" cy="2021434"/>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2154" cy="2083901"/>
                    </a:xfrm>
                    <a:prstGeom prst="rect">
                      <a:avLst/>
                    </a:prstGeom>
                  </pic:spPr>
                </pic:pic>
              </a:graphicData>
            </a:graphic>
          </wp:inline>
        </w:drawing>
      </w:r>
    </w:p>
    <w:p w:rsidR="00536823" w:rsidRDefault="00536823" w:rsidP="00347B12">
      <w:pPr>
        <w:spacing w:after="0" w:line="360" w:lineRule="auto"/>
        <w:ind w:firstLine="709"/>
        <w:jc w:val="both"/>
        <w:rPr>
          <w:rFonts w:ascii="Times New Roman" w:eastAsia="Times New Roman" w:hAnsi="Times New Roman" w:cs="Times New Roman"/>
          <w:color w:val="222222"/>
          <w:sz w:val="24"/>
          <w:szCs w:val="24"/>
          <w:lang w:val="en-US"/>
        </w:rPr>
      </w:pPr>
      <w:r w:rsidRPr="00536823">
        <w:rPr>
          <w:rFonts w:ascii="Times New Roman" w:eastAsia="Times New Roman" w:hAnsi="Times New Roman" w:cs="Times New Roman"/>
          <w:color w:val="222222"/>
          <w:sz w:val="24"/>
          <w:szCs w:val="24"/>
          <w:lang w:val="en-US"/>
        </w:rPr>
        <w:t>Graphically, a positive relationship between the duration of summer holidays and the summer seasonality of mortality in children and adolescents is confirmed, but certainly requires further empirical confirmation. It should also be noted that in most countries used for comparison, including those with a harsh climate, the duration of summer holidays is much less than in Russia.</w:t>
      </w:r>
    </w:p>
    <w:p w:rsidR="00D52CEE" w:rsidRPr="00536823" w:rsidRDefault="00536823" w:rsidP="00347B12">
      <w:pPr>
        <w:spacing w:after="0" w:line="360" w:lineRule="auto"/>
        <w:ind w:firstLine="709"/>
        <w:jc w:val="both"/>
        <w:rPr>
          <w:rFonts w:ascii="Times New Roman" w:eastAsia="Times New Roman" w:hAnsi="Times New Roman" w:cs="Times New Roman"/>
          <w:b/>
          <w:color w:val="222222"/>
          <w:sz w:val="24"/>
          <w:szCs w:val="24"/>
          <w:lang w:val="en-US"/>
        </w:rPr>
      </w:pPr>
      <w:r>
        <w:rPr>
          <w:rFonts w:ascii="Times New Roman" w:eastAsia="Times New Roman" w:hAnsi="Times New Roman" w:cs="Times New Roman"/>
          <w:b/>
          <w:color w:val="222222"/>
          <w:sz w:val="24"/>
          <w:szCs w:val="24"/>
          <w:lang w:val="en-US"/>
        </w:rPr>
        <w:t>Literature</w:t>
      </w:r>
    </w:p>
    <w:p w:rsidR="00600E92" w:rsidRDefault="00600E92" w:rsidP="00600E92">
      <w:pPr>
        <w:spacing w:after="0" w:line="360" w:lineRule="auto"/>
        <w:ind w:firstLine="709"/>
        <w:jc w:val="both"/>
        <w:rPr>
          <w:rFonts w:ascii="Times New Roman" w:eastAsia="Times New Roman" w:hAnsi="Times New Roman" w:cs="Times New Roman"/>
          <w:color w:val="222222"/>
          <w:sz w:val="24"/>
          <w:szCs w:val="24"/>
          <w:lang w:val="en-US"/>
        </w:rPr>
      </w:pPr>
      <w:r w:rsidRPr="00600E92">
        <w:rPr>
          <w:rFonts w:ascii="Times New Roman" w:eastAsia="Times New Roman" w:hAnsi="Times New Roman" w:cs="Times New Roman"/>
          <w:color w:val="222222"/>
          <w:sz w:val="24"/>
          <w:szCs w:val="24"/>
          <w:lang w:val="en-US"/>
        </w:rPr>
        <w:t xml:space="preserve">Andrei, T., </w:t>
      </w:r>
      <w:proofErr w:type="spellStart"/>
      <w:r w:rsidRPr="00600E92">
        <w:rPr>
          <w:rFonts w:ascii="Times New Roman" w:eastAsia="Times New Roman" w:hAnsi="Times New Roman" w:cs="Times New Roman"/>
          <w:color w:val="222222"/>
          <w:sz w:val="24"/>
          <w:szCs w:val="24"/>
          <w:lang w:val="en-US"/>
        </w:rPr>
        <w:t>Mirică</w:t>
      </w:r>
      <w:proofErr w:type="spellEnd"/>
      <w:r w:rsidRPr="00600E92">
        <w:rPr>
          <w:rFonts w:ascii="Times New Roman" w:eastAsia="Times New Roman" w:hAnsi="Times New Roman" w:cs="Times New Roman"/>
          <w:color w:val="222222"/>
          <w:sz w:val="24"/>
          <w:szCs w:val="24"/>
          <w:lang w:val="en-US"/>
        </w:rPr>
        <w:t xml:space="preserve">, A., </w:t>
      </w:r>
      <w:proofErr w:type="spellStart"/>
      <w:r w:rsidRPr="00600E92">
        <w:rPr>
          <w:rFonts w:ascii="Times New Roman" w:eastAsia="Times New Roman" w:hAnsi="Times New Roman" w:cs="Times New Roman"/>
          <w:color w:val="222222"/>
          <w:sz w:val="24"/>
          <w:szCs w:val="24"/>
          <w:lang w:val="en-US"/>
        </w:rPr>
        <w:t>Glăvan</w:t>
      </w:r>
      <w:proofErr w:type="spellEnd"/>
      <w:r w:rsidRPr="00600E92">
        <w:rPr>
          <w:rFonts w:ascii="Times New Roman" w:eastAsia="Times New Roman" w:hAnsi="Times New Roman" w:cs="Times New Roman"/>
          <w:color w:val="222222"/>
          <w:sz w:val="24"/>
          <w:szCs w:val="24"/>
          <w:lang w:val="en-US"/>
        </w:rPr>
        <w:t xml:space="preserve">, I. R., </w:t>
      </w:r>
      <w:proofErr w:type="spellStart"/>
      <w:r w:rsidRPr="00600E92">
        <w:rPr>
          <w:rFonts w:ascii="Times New Roman" w:eastAsia="Times New Roman" w:hAnsi="Times New Roman" w:cs="Times New Roman"/>
          <w:color w:val="222222"/>
          <w:sz w:val="24"/>
          <w:szCs w:val="24"/>
          <w:lang w:val="en-US"/>
        </w:rPr>
        <w:t>Ferariu</w:t>
      </w:r>
      <w:proofErr w:type="spellEnd"/>
      <w:r w:rsidRPr="00600E92">
        <w:rPr>
          <w:rFonts w:ascii="Times New Roman" w:eastAsia="Times New Roman" w:hAnsi="Times New Roman" w:cs="Times New Roman"/>
          <w:color w:val="222222"/>
          <w:sz w:val="24"/>
          <w:szCs w:val="24"/>
          <w:lang w:val="en-US"/>
        </w:rPr>
        <w:t xml:space="preserve">, G. A., &amp; </w:t>
      </w:r>
      <w:proofErr w:type="spellStart"/>
      <w:r w:rsidRPr="00600E92">
        <w:rPr>
          <w:rFonts w:ascii="Times New Roman" w:eastAsia="Times New Roman" w:hAnsi="Times New Roman" w:cs="Times New Roman"/>
          <w:color w:val="222222"/>
          <w:sz w:val="24"/>
          <w:szCs w:val="24"/>
          <w:lang w:val="en-US"/>
        </w:rPr>
        <w:t>Radulescu</w:t>
      </w:r>
      <w:proofErr w:type="spellEnd"/>
      <w:r w:rsidRPr="00600E92">
        <w:rPr>
          <w:rFonts w:ascii="Times New Roman" w:eastAsia="Times New Roman" w:hAnsi="Times New Roman" w:cs="Times New Roman"/>
          <w:color w:val="222222"/>
          <w:sz w:val="24"/>
          <w:szCs w:val="24"/>
          <w:lang w:val="en-US"/>
        </w:rPr>
        <w:t xml:space="preserve">-George, I. M. (2019, October). Seasonal adjustment of tourism data for Romania using </w:t>
      </w:r>
      <w:proofErr w:type="spellStart"/>
      <w:r w:rsidRPr="00600E92">
        <w:rPr>
          <w:rFonts w:ascii="Times New Roman" w:eastAsia="Times New Roman" w:hAnsi="Times New Roman" w:cs="Times New Roman"/>
          <w:color w:val="222222"/>
          <w:sz w:val="24"/>
          <w:szCs w:val="24"/>
          <w:lang w:val="en-US"/>
        </w:rPr>
        <w:t>JDemetra</w:t>
      </w:r>
      <w:proofErr w:type="spellEnd"/>
      <w:r w:rsidRPr="00600E92">
        <w:rPr>
          <w:rFonts w:ascii="Times New Roman" w:eastAsia="Times New Roman" w:hAnsi="Times New Roman" w:cs="Times New Roman"/>
          <w:color w:val="222222"/>
          <w:sz w:val="24"/>
          <w:szCs w:val="24"/>
          <w:lang w:val="en-US"/>
        </w:rPr>
        <w:t xml:space="preserve">+. </w:t>
      </w:r>
      <w:r w:rsidRPr="00600E92">
        <w:rPr>
          <w:rFonts w:ascii="Times New Roman" w:eastAsia="Times New Roman" w:hAnsi="Times New Roman" w:cs="Times New Roman"/>
          <w:i/>
          <w:color w:val="222222"/>
          <w:sz w:val="24"/>
          <w:szCs w:val="24"/>
          <w:lang w:val="en-US"/>
        </w:rPr>
        <w:t>In Proceedings of the International Conference on Applied Statistics</w:t>
      </w:r>
      <w:r w:rsidRPr="00600E92">
        <w:rPr>
          <w:rFonts w:ascii="Times New Roman" w:eastAsia="Times New Roman" w:hAnsi="Times New Roman" w:cs="Times New Roman"/>
          <w:color w:val="222222"/>
          <w:sz w:val="24"/>
          <w:szCs w:val="24"/>
          <w:lang w:val="en-US"/>
        </w:rPr>
        <w:t> (Vol. 1, No. 1, pp. 8-16).</w:t>
      </w:r>
    </w:p>
    <w:p w:rsidR="00D52CEE" w:rsidRDefault="00157916" w:rsidP="00157916">
      <w:pPr>
        <w:spacing w:after="0" w:line="360" w:lineRule="auto"/>
        <w:ind w:firstLine="709"/>
        <w:jc w:val="both"/>
        <w:rPr>
          <w:rFonts w:ascii="Times New Roman" w:eastAsia="Times New Roman" w:hAnsi="Times New Roman" w:cs="Times New Roman"/>
          <w:color w:val="222222"/>
          <w:sz w:val="24"/>
          <w:szCs w:val="24"/>
        </w:rPr>
      </w:pPr>
      <w:r w:rsidRPr="00600E92">
        <w:rPr>
          <w:rFonts w:ascii="Times New Roman" w:eastAsia="Times New Roman" w:hAnsi="Times New Roman" w:cs="Times New Roman"/>
          <w:color w:val="222222"/>
          <w:sz w:val="24"/>
          <w:szCs w:val="24"/>
          <w:lang w:val="en-US"/>
        </w:rPr>
        <w:t xml:space="preserve">Asif, M., Nawaz, K., Zaheer, Z., </w:t>
      </w:r>
      <w:proofErr w:type="spellStart"/>
      <w:r w:rsidRPr="00600E92">
        <w:rPr>
          <w:rFonts w:ascii="Times New Roman" w:eastAsia="Times New Roman" w:hAnsi="Times New Roman" w:cs="Times New Roman"/>
          <w:color w:val="222222"/>
          <w:sz w:val="24"/>
          <w:szCs w:val="24"/>
          <w:lang w:val="en-US"/>
        </w:rPr>
        <w:t>Thygesen</w:t>
      </w:r>
      <w:proofErr w:type="spellEnd"/>
      <w:r w:rsidRPr="00600E92">
        <w:rPr>
          <w:rFonts w:ascii="Times New Roman" w:eastAsia="Times New Roman" w:hAnsi="Times New Roman" w:cs="Times New Roman"/>
          <w:color w:val="222222"/>
          <w:sz w:val="24"/>
          <w:szCs w:val="24"/>
          <w:lang w:val="en-US"/>
        </w:rPr>
        <w:t>, H., Abu-</w:t>
      </w:r>
      <w:proofErr w:type="spellStart"/>
      <w:r w:rsidRPr="00600E92">
        <w:rPr>
          <w:rFonts w:ascii="Times New Roman" w:eastAsia="Times New Roman" w:hAnsi="Times New Roman" w:cs="Times New Roman"/>
          <w:color w:val="222222"/>
          <w:sz w:val="24"/>
          <w:szCs w:val="24"/>
          <w:lang w:val="en-US"/>
        </w:rPr>
        <w:t>Shaheen</w:t>
      </w:r>
      <w:proofErr w:type="spellEnd"/>
      <w:r w:rsidRPr="00600E92">
        <w:rPr>
          <w:rFonts w:ascii="Times New Roman" w:eastAsia="Times New Roman" w:hAnsi="Times New Roman" w:cs="Times New Roman"/>
          <w:color w:val="222222"/>
          <w:sz w:val="24"/>
          <w:szCs w:val="24"/>
          <w:lang w:val="en-US"/>
        </w:rPr>
        <w:t xml:space="preserve">, A., &amp; Riaz, M. (2019). </w:t>
      </w:r>
      <w:r w:rsidRPr="00CE71E7">
        <w:rPr>
          <w:rFonts w:ascii="Times New Roman" w:eastAsia="Times New Roman" w:hAnsi="Times New Roman" w:cs="Times New Roman"/>
          <w:color w:val="222222"/>
          <w:sz w:val="24"/>
          <w:szCs w:val="24"/>
          <w:lang w:val="en-US"/>
        </w:rPr>
        <w:t>Seasonality of deaths with respect to age and cause in Chitral District Pakistan. </w:t>
      </w:r>
      <w:proofErr w:type="spellStart"/>
      <w:r w:rsidRPr="005376BA">
        <w:rPr>
          <w:rFonts w:ascii="Times New Roman" w:eastAsia="Times New Roman" w:hAnsi="Times New Roman" w:cs="Times New Roman"/>
          <w:i/>
          <w:color w:val="222222"/>
          <w:sz w:val="24"/>
          <w:szCs w:val="24"/>
        </w:rPr>
        <w:t>Plos</w:t>
      </w:r>
      <w:proofErr w:type="spellEnd"/>
      <w:r w:rsidRPr="005376BA">
        <w:rPr>
          <w:rFonts w:ascii="Times New Roman" w:eastAsia="Times New Roman" w:hAnsi="Times New Roman" w:cs="Times New Roman"/>
          <w:i/>
          <w:color w:val="222222"/>
          <w:sz w:val="24"/>
          <w:szCs w:val="24"/>
        </w:rPr>
        <w:t xml:space="preserve"> </w:t>
      </w:r>
      <w:proofErr w:type="spellStart"/>
      <w:r w:rsidRPr="005376BA">
        <w:rPr>
          <w:rFonts w:ascii="Times New Roman" w:eastAsia="Times New Roman" w:hAnsi="Times New Roman" w:cs="Times New Roman"/>
          <w:i/>
          <w:color w:val="222222"/>
          <w:sz w:val="24"/>
          <w:szCs w:val="24"/>
        </w:rPr>
        <w:t>one</w:t>
      </w:r>
      <w:proofErr w:type="spellEnd"/>
      <w:r w:rsidRPr="005376BA">
        <w:rPr>
          <w:rFonts w:ascii="Times New Roman" w:eastAsia="Times New Roman" w:hAnsi="Times New Roman" w:cs="Times New Roman"/>
          <w:i/>
          <w:color w:val="222222"/>
          <w:sz w:val="24"/>
          <w:szCs w:val="24"/>
        </w:rPr>
        <w:t>,</w:t>
      </w:r>
      <w:r w:rsidRPr="00157916">
        <w:rPr>
          <w:rFonts w:ascii="Times New Roman" w:eastAsia="Times New Roman" w:hAnsi="Times New Roman" w:cs="Times New Roman"/>
          <w:color w:val="222222"/>
          <w:sz w:val="24"/>
          <w:szCs w:val="24"/>
        </w:rPr>
        <w:t> 14(12), e0225994.</w:t>
      </w:r>
    </w:p>
    <w:p w:rsidR="00600E92" w:rsidRPr="00CE71E7" w:rsidRDefault="00600E92" w:rsidP="00600E92">
      <w:pPr>
        <w:spacing w:after="0" w:line="360" w:lineRule="auto"/>
        <w:ind w:firstLine="709"/>
        <w:jc w:val="both"/>
        <w:rPr>
          <w:rFonts w:ascii="Times New Roman" w:eastAsia="Times New Roman" w:hAnsi="Times New Roman" w:cs="Times New Roman"/>
          <w:color w:val="222222"/>
          <w:sz w:val="24"/>
          <w:szCs w:val="24"/>
          <w:lang w:val="en-US"/>
        </w:rPr>
      </w:pPr>
      <w:r w:rsidRPr="00600E92">
        <w:rPr>
          <w:rFonts w:ascii="Times New Roman" w:eastAsia="Times New Roman" w:hAnsi="Times New Roman" w:cs="Times New Roman"/>
          <w:color w:val="222222"/>
          <w:sz w:val="24"/>
          <w:szCs w:val="24"/>
          <w:lang w:val="en-US"/>
        </w:rPr>
        <w:t xml:space="preserve">Chun, </w:t>
      </w:r>
      <w:proofErr w:type="spellStart"/>
      <w:r w:rsidRPr="00600E92">
        <w:rPr>
          <w:rFonts w:ascii="Times New Roman" w:eastAsia="Times New Roman" w:hAnsi="Times New Roman" w:cs="Times New Roman"/>
          <w:color w:val="222222"/>
          <w:sz w:val="24"/>
          <w:szCs w:val="24"/>
          <w:lang w:val="en-US"/>
        </w:rPr>
        <w:t>Heejung</w:t>
      </w:r>
      <w:proofErr w:type="spellEnd"/>
      <w:r w:rsidRPr="00600E92">
        <w:rPr>
          <w:rFonts w:ascii="Times New Roman" w:eastAsia="Times New Roman" w:hAnsi="Times New Roman" w:cs="Times New Roman"/>
          <w:color w:val="222222"/>
          <w:sz w:val="24"/>
          <w:szCs w:val="24"/>
          <w:lang w:val="en-US"/>
        </w:rPr>
        <w:t>, and Michael Mobley. "Gender and grade-level comparisons in the structure of problem behaviors among adolescents." </w:t>
      </w:r>
      <w:r w:rsidRPr="00600E92">
        <w:rPr>
          <w:rFonts w:ascii="Times New Roman" w:eastAsia="Times New Roman" w:hAnsi="Times New Roman" w:cs="Times New Roman"/>
          <w:i/>
          <w:color w:val="222222"/>
          <w:sz w:val="24"/>
          <w:szCs w:val="24"/>
          <w:lang w:val="en-US"/>
        </w:rPr>
        <w:t>Journal of Adolescence</w:t>
      </w:r>
      <w:r w:rsidRPr="00600E92">
        <w:rPr>
          <w:rFonts w:ascii="Times New Roman" w:eastAsia="Times New Roman" w:hAnsi="Times New Roman" w:cs="Times New Roman"/>
          <w:color w:val="222222"/>
          <w:sz w:val="24"/>
          <w:szCs w:val="24"/>
          <w:lang w:val="en-US"/>
        </w:rPr>
        <w:t> 33.1 (2010): 197-207.</w:t>
      </w:r>
    </w:p>
    <w:p w:rsidR="00BA6E34" w:rsidRPr="00BA6E34" w:rsidRDefault="00BA6E34" w:rsidP="00600E92">
      <w:pPr>
        <w:spacing w:after="0" w:line="360" w:lineRule="auto"/>
        <w:ind w:firstLine="709"/>
        <w:jc w:val="both"/>
        <w:rPr>
          <w:rFonts w:ascii="Times New Roman" w:eastAsia="Times New Roman" w:hAnsi="Times New Roman" w:cs="Times New Roman"/>
          <w:color w:val="222222"/>
          <w:sz w:val="24"/>
          <w:szCs w:val="24"/>
          <w:lang w:val="en-US"/>
        </w:rPr>
      </w:pPr>
      <w:proofErr w:type="spellStart"/>
      <w:r w:rsidRPr="00BA6E34">
        <w:rPr>
          <w:rFonts w:ascii="Times New Roman" w:eastAsia="Times New Roman" w:hAnsi="Times New Roman" w:cs="Times New Roman"/>
          <w:color w:val="222222"/>
          <w:sz w:val="24"/>
          <w:szCs w:val="24"/>
          <w:lang w:val="en-US"/>
        </w:rPr>
        <w:lastRenderedPageBreak/>
        <w:t>Grudkowska</w:t>
      </w:r>
      <w:proofErr w:type="spellEnd"/>
      <w:r w:rsidRPr="00BA6E34">
        <w:rPr>
          <w:rFonts w:ascii="Times New Roman" w:eastAsia="Times New Roman" w:hAnsi="Times New Roman" w:cs="Times New Roman"/>
          <w:color w:val="222222"/>
          <w:sz w:val="24"/>
          <w:szCs w:val="24"/>
          <w:lang w:val="en-US"/>
        </w:rPr>
        <w:t xml:space="preserve">, S. (2015). </w:t>
      </w:r>
      <w:proofErr w:type="spellStart"/>
      <w:r w:rsidRPr="00BA6E34">
        <w:rPr>
          <w:rFonts w:ascii="Times New Roman" w:eastAsia="Times New Roman" w:hAnsi="Times New Roman" w:cs="Times New Roman"/>
          <w:color w:val="222222"/>
          <w:sz w:val="24"/>
          <w:szCs w:val="24"/>
          <w:lang w:val="en-US"/>
        </w:rPr>
        <w:t>JDemetra</w:t>
      </w:r>
      <w:proofErr w:type="spellEnd"/>
      <w:r w:rsidRPr="00BA6E34">
        <w:rPr>
          <w:rFonts w:ascii="Times New Roman" w:eastAsia="Times New Roman" w:hAnsi="Times New Roman" w:cs="Times New Roman"/>
          <w:color w:val="222222"/>
          <w:sz w:val="24"/>
          <w:szCs w:val="24"/>
          <w:lang w:val="en-US"/>
        </w:rPr>
        <w:t>+ User Guide. Retrieved from: https://ec.europa.eu/eurostat/cros/system/files/jdemetra_user_guide.pdf.</w:t>
      </w:r>
    </w:p>
    <w:p w:rsidR="00600E92" w:rsidRPr="00600E92" w:rsidRDefault="00600E92" w:rsidP="00600E92">
      <w:pPr>
        <w:spacing w:after="0" w:line="360" w:lineRule="auto"/>
        <w:ind w:firstLine="709"/>
        <w:jc w:val="both"/>
        <w:rPr>
          <w:rFonts w:ascii="Times New Roman" w:eastAsia="Times New Roman" w:hAnsi="Times New Roman" w:cs="Times New Roman"/>
          <w:color w:val="222222"/>
          <w:sz w:val="24"/>
          <w:szCs w:val="24"/>
          <w:lang w:val="en-US"/>
        </w:rPr>
      </w:pPr>
      <w:r w:rsidRPr="00600E92">
        <w:rPr>
          <w:rFonts w:ascii="Times New Roman" w:eastAsia="Times New Roman" w:hAnsi="Times New Roman" w:cs="Times New Roman"/>
          <w:color w:val="222222"/>
          <w:sz w:val="24"/>
          <w:szCs w:val="24"/>
          <w:lang w:val="en-US"/>
        </w:rPr>
        <w:t xml:space="preserve">Knyazev, G. G., </w:t>
      </w:r>
      <w:proofErr w:type="spellStart"/>
      <w:r w:rsidRPr="00600E92">
        <w:rPr>
          <w:rFonts w:ascii="Times New Roman" w:eastAsia="Times New Roman" w:hAnsi="Times New Roman" w:cs="Times New Roman"/>
          <w:color w:val="222222"/>
          <w:sz w:val="24"/>
          <w:szCs w:val="24"/>
          <w:lang w:val="en-US"/>
        </w:rPr>
        <w:t>Slobodskaya</w:t>
      </w:r>
      <w:proofErr w:type="spellEnd"/>
      <w:r w:rsidRPr="00600E92">
        <w:rPr>
          <w:rFonts w:ascii="Times New Roman" w:eastAsia="Times New Roman" w:hAnsi="Times New Roman" w:cs="Times New Roman"/>
          <w:color w:val="222222"/>
          <w:sz w:val="24"/>
          <w:szCs w:val="24"/>
          <w:lang w:val="en-US"/>
        </w:rPr>
        <w:t xml:space="preserve">, H. R., </w:t>
      </w:r>
      <w:proofErr w:type="spellStart"/>
      <w:r w:rsidRPr="00600E92">
        <w:rPr>
          <w:rFonts w:ascii="Times New Roman" w:eastAsia="Times New Roman" w:hAnsi="Times New Roman" w:cs="Times New Roman"/>
          <w:color w:val="222222"/>
          <w:sz w:val="24"/>
          <w:szCs w:val="24"/>
          <w:lang w:val="en-US"/>
        </w:rPr>
        <w:t>Kharchenko</w:t>
      </w:r>
      <w:proofErr w:type="spellEnd"/>
      <w:r w:rsidRPr="00600E92">
        <w:rPr>
          <w:rFonts w:ascii="Times New Roman" w:eastAsia="Times New Roman" w:hAnsi="Times New Roman" w:cs="Times New Roman"/>
          <w:color w:val="222222"/>
          <w:sz w:val="24"/>
          <w:szCs w:val="24"/>
          <w:lang w:val="en-US"/>
        </w:rPr>
        <w:t xml:space="preserve">, I. I., &amp; Wilson, G. D. (2004). Personality and substance use in Russian youths: The predictive and moderating role of </w:t>
      </w:r>
      <w:proofErr w:type="spellStart"/>
      <w:r w:rsidRPr="00600E92">
        <w:rPr>
          <w:rFonts w:ascii="Times New Roman" w:eastAsia="Times New Roman" w:hAnsi="Times New Roman" w:cs="Times New Roman"/>
          <w:color w:val="222222"/>
          <w:sz w:val="24"/>
          <w:szCs w:val="24"/>
          <w:lang w:val="en-US"/>
        </w:rPr>
        <w:t>behavioural</w:t>
      </w:r>
      <w:proofErr w:type="spellEnd"/>
      <w:r w:rsidRPr="00600E92">
        <w:rPr>
          <w:rFonts w:ascii="Times New Roman" w:eastAsia="Times New Roman" w:hAnsi="Times New Roman" w:cs="Times New Roman"/>
          <w:color w:val="222222"/>
          <w:sz w:val="24"/>
          <w:szCs w:val="24"/>
          <w:lang w:val="en-US"/>
        </w:rPr>
        <w:t xml:space="preserve"> activation and gender. </w:t>
      </w:r>
      <w:r w:rsidRPr="00600E92">
        <w:rPr>
          <w:rFonts w:ascii="Times New Roman" w:eastAsia="Times New Roman" w:hAnsi="Times New Roman" w:cs="Times New Roman"/>
          <w:i/>
          <w:color w:val="222222"/>
          <w:sz w:val="24"/>
          <w:szCs w:val="24"/>
          <w:lang w:val="en-US"/>
        </w:rPr>
        <w:t>Personality and Individual Differences</w:t>
      </w:r>
      <w:r w:rsidRPr="00600E92">
        <w:rPr>
          <w:rFonts w:ascii="Times New Roman" w:eastAsia="Times New Roman" w:hAnsi="Times New Roman" w:cs="Times New Roman"/>
          <w:color w:val="222222"/>
          <w:sz w:val="24"/>
          <w:szCs w:val="24"/>
          <w:lang w:val="en-US"/>
        </w:rPr>
        <w:t>, 37(4), 827-843.</w:t>
      </w:r>
    </w:p>
    <w:p w:rsidR="00600E92" w:rsidRPr="00600E92" w:rsidRDefault="00600E92" w:rsidP="00157916">
      <w:pPr>
        <w:spacing w:after="0" w:line="360" w:lineRule="auto"/>
        <w:ind w:firstLine="709"/>
        <w:jc w:val="both"/>
        <w:rPr>
          <w:rFonts w:ascii="Times New Roman" w:eastAsia="Times New Roman" w:hAnsi="Times New Roman" w:cs="Times New Roman"/>
          <w:color w:val="222222"/>
          <w:sz w:val="24"/>
          <w:szCs w:val="24"/>
          <w:lang w:val="en-US"/>
        </w:rPr>
      </w:pPr>
      <w:r w:rsidRPr="00600E92">
        <w:rPr>
          <w:rFonts w:ascii="Times New Roman" w:eastAsia="Times New Roman" w:hAnsi="Times New Roman" w:cs="Times New Roman"/>
          <w:color w:val="222222"/>
          <w:sz w:val="24"/>
          <w:szCs w:val="24"/>
          <w:lang w:val="en-US"/>
        </w:rPr>
        <w:t xml:space="preserve">Nemtsov, A. V., &amp; </w:t>
      </w:r>
      <w:proofErr w:type="spellStart"/>
      <w:r w:rsidRPr="00600E92">
        <w:rPr>
          <w:rFonts w:ascii="Times New Roman" w:eastAsia="Times New Roman" w:hAnsi="Times New Roman" w:cs="Times New Roman"/>
          <w:color w:val="222222"/>
          <w:sz w:val="24"/>
          <w:szCs w:val="24"/>
          <w:lang w:val="en-US"/>
        </w:rPr>
        <w:t>Fattakhov</w:t>
      </w:r>
      <w:proofErr w:type="spellEnd"/>
      <w:r w:rsidRPr="00600E92">
        <w:rPr>
          <w:rFonts w:ascii="Times New Roman" w:eastAsia="Times New Roman" w:hAnsi="Times New Roman" w:cs="Times New Roman"/>
          <w:color w:val="222222"/>
          <w:sz w:val="24"/>
          <w:szCs w:val="24"/>
          <w:lang w:val="en-US"/>
        </w:rPr>
        <w:t>, T. A. (2021). Diagnostic and age composition of excess mortality associated with the New Year holidays in Russia. </w:t>
      </w:r>
      <w:r w:rsidRPr="005376BA">
        <w:rPr>
          <w:rFonts w:ascii="Times New Roman" w:eastAsia="Times New Roman" w:hAnsi="Times New Roman" w:cs="Times New Roman"/>
          <w:i/>
          <w:color w:val="222222"/>
          <w:sz w:val="24"/>
          <w:szCs w:val="24"/>
        </w:rPr>
        <w:t>Population and Economics</w:t>
      </w:r>
      <w:r w:rsidRPr="005376BA">
        <w:rPr>
          <w:rFonts w:ascii="Times New Roman" w:eastAsia="Times New Roman" w:hAnsi="Times New Roman" w:cs="Times New Roman"/>
          <w:color w:val="222222"/>
          <w:sz w:val="24"/>
          <w:szCs w:val="24"/>
        </w:rPr>
        <w:t>, 5, 1.</w:t>
      </w:r>
    </w:p>
    <w:p w:rsidR="00600E92" w:rsidRPr="00600E92" w:rsidRDefault="00600E92" w:rsidP="00600E92">
      <w:pPr>
        <w:spacing w:after="0" w:line="360" w:lineRule="auto"/>
        <w:ind w:firstLine="709"/>
        <w:jc w:val="both"/>
        <w:rPr>
          <w:rFonts w:ascii="Times New Roman" w:eastAsia="Times New Roman" w:hAnsi="Times New Roman" w:cs="Times New Roman"/>
          <w:color w:val="222222"/>
          <w:sz w:val="24"/>
          <w:szCs w:val="24"/>
          <w:lang w:val="en-US"/>
        </w:rPr>
      </w:pPr>
      <w:bookmarkStart w:id="2" w:name="_Hlk105496342"/>
      <w:proofErr w:type="spellStart"/>
      <w:r w:rsidRPr="00600E92">
        <w:rPr>
          <w:rFonts w:ascii="Times New Roman" w:eastAsia="Times New Roman" w:hAnsi="Times New Roman" w:cs="Times New Roman"/>
          <w:color w:val="222222"/>
          <w:sz w:val="24"/>
          <w:szCs w:val="24"/>
          <w:lang w:val="en-US"/>
        </w:rPr>
        <w:t>Weden</w:t>
      </w:r>
      <w:proofErr w:type="spellEnd"/>
      <w:r w:rsidRPr="00600E92">
        <w:rPr>
          <w:rFonts w:ascii="Times New Roman" w:eastAsia="Times New Roman" w:hAnsi="Times New Roman" w:cs="Times New Roman"/>
          <w:color w:val="222222"/>
          <w:sz w:val="24"/>
          <w:szCs w:val="24"/>
          <w:lang w:val="en-US"/>
        </w:rPr>
        <w:t xml:space="preserve">, Margaret M., and Laurie S. </w:t>
      </w:r>
      <w:proofErr w:type="spellStart"/>
      <w:r w:rsidRPr="00600E92">
        <w:rPr>
          <w:rFonts w:ascii="Times New Roman" w:eastAsia="Times New Roman" w:hAnsi="Times New Roman" w:cs="Times New Roman"/>
          <w:color w:val="222222"/>
          <w:sz w:val="24"/>
          <w:szCs w:val="24"/>
          <w:lang w:val="en-US"/>
        </w:rPr>
        <w:t>Zabin</w:t>
      </w:r>
      <w:proofErr w:type="spellEnd"/>
      <w:r w:rsidRPr="00600E92">
        <w:rPr>
          <w:rFonts w:ascii="Times New Roman" w:eastAsia="Times New Roman" w:hAnsi="Times New Roman" w:cs="Times New Roman"/>
          <w:color w:val="222222"/>
          <w:sz w:val="24"/>
          <w:szCs w:val="24"/>
          <w:lang w:val="en-US"/>
        </w:rPr>
        <w:t xml:space="preserve">. "Gender and ethnic differences in the co-occurrence of adolescent risk behaviors." Ethnicity and Health 10.3 (2005): 213-234.Lerchl, A. (1998). </w:t>
      </w:r>
      <w:bookmarkEnd w:id="2"/>
      <w:r w:rsidRPr="00600E92">
        <w:rPr>
          <w:rFonts w:ascii="Times New Roman" w:eastAsia="Times New Roman" w:hAnsi="Times New Roman" w:cs="Times New Roman"/>
          <w:i/>
          <w:color w:val="222222"/>
          <w:sz w:val="24"/>
          <w:szCs w:val="24"/>
          <w:lang w:val="en-US"/>
        </w:rPr>
        <w:t>Changes in the seasonality of mortality in Germany from 1946 to 1995: the role of temperature. International journal of biometeorology</w:t>
      </w:r>
      <w:r w:rsidRPr="00600E92">
        <w:rPr>
          <w:rFonts w:ascii="Times New Roman" w:eastAsia="Times New Roman" w:hAnsi="Times New Roman" w:cs="Times New Roman"/>
          <w:color w:val="222222"/>
          <w:sz w:val="24"/>
          <w:szCs w:val="24"/>
          <w:lang w:val="en-US"/>
        </w:rPr>
        <w:t>, 42(2), 84-88.</w:t>
      </w:r>
    </w:p>
    <w:p w:rsidR="00600E92" w:rsidRPr="00347B12" w:rsidRDefault="00600E92" w:rsidP="00600E92">
      <w:pPr>
        <w:spacing w:after="0" w:line="360" w:lineRule="auto"/>
        <w:ind w:firstLine="709"/>
        <w:jc w:val="both"/>
        <w:rPr>
          <w:rFonts w:ascii="Times New Roman" w:eastAsia="Times New Roman" w:hAnsi="Times New Roman" w:cs="Times New Roman"/>
          <w:color w:val="222222"/>
          <w:sz w:val="24"/>
          <w:szCs w:val="24"/>
        </w:rPr>
      </w:pPr>
      <w:r w:rsidRPr="00347B12">
        <w:rPr>
          <w:rFonts w:ascii="Times New Roman" w:eastAsia="Times New Roman" w:hAnsi="Times New Roman" w:cs="Times New Roman"/>
          <w:color w:val="222222"/>
          <w:sz w:val="24"/>
          <w:szCs w:val="24"/>
        </w:rPr>
        <w:t>Борискин</w:t>
      </w:r>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М</w:t>
      </w:r>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Л</w:t>
      </w:r>
      <w:r w:rsidRPr="00CE71E7">
        <w:rPr>
          <w:rFonts w:ascii="Times New Roman" w:eastAsia="Times New Roman" w:hAnsi="Times New Roman" w:cs="Times New Roman"/>
          <w:color w:val="222222"/>
          <w:sz w:val="24"/>
          <w:szCs w:val="24"/>
          <w:lang w:val="en-US"/>
        </w:rPr>
        <w:t xml:space="preserve">., </w:t>
      </w:r>
      <w:proofErr w:type="spellStart"/>
      <w:r w:rsidRPr="00347B12">
        <w:rPr>
          <w:rFonts w:ascii="Times New Roman" w:eastAsia="Times New Roman" w:hAnsi="Times New Roman" w:cs="Times New Roman"/>
          <w:color w:val="222222"/>
          <w:sz w:val="24"/>
          <w:szCs w:val="24"/>
        </w:rPr>
        <w:t>Улесикова</w:t>
      </w:r>
      <w:proofErr w:type="spellEnd"/>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И</w:t>
      </w:r>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В</w:t>
      </w:r>
      <w:r w:rsidRPr="00CE71E7">
        <w:rPr>
          <w:rFonts w:ascii="Times New Roman" w:eastAsia="Times New Roman" w:hAnsi="Times New Roman" w:cs="Times New Roman"/>
          <w:color w:val="222222"/>
          <w:sz w:val="24"/>
          <w:szCs w:val="24"/>
          <w:lang w:val="en-US"/>
        </w:rPr>
        <w:t xml:space="preserve">., </w:t>
      </w:r>
      <w:proofErr w:type="spellStart"/>
      <w:r w:rsidRPr="00347B12">
        <w:rPr>
          <w:rFonts w:ascii="Times New Roman" w:eastAsia="Times New Roman" w:hAnsi="Times New Roman" w:cs="Times New Roman"/>
          <w:color w:val="222222"/>
          <w:sz w:val="24"/>
          <w:szCs w:val="24"/>
        </w:rPr>
        <w:t>Шатыр</w:t>
      </w:r>
      <w:proofErr w:type="spellEnd"/>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Ю</w:t>
      </w:r>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А</w:t>
      </w:r>
      <w:r w:rsidRPr="00CE71E7">
        <w:rPr>
          <w:rFonts w:ascii="Times New Roman" w:eastAsia="Times New Roman" w:hAnsi="Times New Roman" w:cs="Times New Roman"/>
          <w:color w:val="222222"/>
          <w:sz w:val="24"/>
          <w:szCs w:val="24"/>
          <w:lang w:val="en-US"/>
        </w:rPr>
        <w:t xml:space="preserve">., </w:t>
      </w:r>
      <w:proofErr w:type="spellStart"/>
      <w:r w:rsidRPr="00347B12">
        <w:rPr>
          <w:rFonts w:ascii="Times New Roman" w:eastAsia="Times New Roman" w:hAnsi="Times New Roman" w:cs="Times New Roman"/>
          <w:color w:val="222222"/>
          <w:sz w:val="24"/>
          <w:szCs w:val="24"/>
        </w:rPr>
        <w:t>Мулик</w:t>
      </w:r>
      <w:proofErr w:type="spellEnd"/>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И</w:t>
      </w:r>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Г</w:t>
      </w:r>
      <w:r w:rsidRPr="00CE71E7">
        <w:rPr>
          <w:rFonts w:ascii="Times New Roman" w:eastAsia="Times New Roman" w:hAnsi="Times New Roman" w:cs="Times New Roman"/>
          <w:color w:val="222222"/>
          <w:sz w:val="24"/>
          <w:szCs w:val="24"/>
          <w:lang w:val="en-US"/>
        </w:rPr>
        <w:t xml:space="preserve">., </w:t>
      </w:r>
      <w:proofErr w:type="spellStart"/>
      <w:r w:rsidRPr="00347B12">
        <w:rPr>
          <w:rFonts w:ascii="Times New Roman" w:eastAsia="Times New Roman" w:hAnsi="Times New Roman" w:cs="Times New Roman"/>
          <w:color w:val="222222"/>
          <w:sz w:val="24"/>
          <w:szCs w:val="24"/>
        </w:rPr>
        <w:t>Булатецкий</w:t>
      </w:r>
      <w:proofErr w:type="spellEnd"/>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С</w:t>
      </w:r>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В</w:t>
      </w:r>
      <w:r w:rsidRPr="00CE71E7">
        <w:rPr>
          <w:rFonts w:ascii="Times New Roman" w:eastAsia="Times New Roman" w:hAnsi="Times New Roman" w:cs="Times New Roman"/>
          <w:color w:val="222222"/>
          <w:sz w:val="24"/>
          <w:szCs w:val="24"/>
          <w:lang w:val="en-US"/>
        </w:rPr>
        <w:t xml:space="preserve">., &amp; </w:t>
      </w:r>
      <w:proofErr w:type="spellStart"/>
      <w:r w:rsidRPr="00347B12">
        <w:rPr>
          <w:rFonts w:ascii="Times New Roman" w:eastAsia="Times New Roman" w:hAnsi="Times New Roman" w:cs="Times New Roman"/>
          <w:color w:val="222222"/>
          <w:sz w:val="24"/>
          <w:szCs w:val="24"/>
        </w:rPr>
        <w:t>Мулик</w:t>
      </w:r>
      <w:proofErr w:type="spellEnd"/>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А</w:t>
      </w:r>
      <w:r w:rsidRPr="00CE71E7">
        <w:rPr>
          <w:rFonts w:ascii="Times New Roman" w:eastAsia="Times New Roman" w:hAnsi="Times New Roman" w:cs="Times New Roman"/>
          <w:color w:val="222222"/>
          <w:sz w:val="24"/>
          <w:szCs w:val="24"/>
          <w:lang w:val="en-US"/>
        </w:rPr>
        <w:t xml:space="preserve">. </w:t>
      </w:r>
      <w:r w:rsidRPr="00347B12">
        <w:rPr>
          <w:rFonts w:ascii="Times New Roman" w:eastAsia="Times New Roman" w:hAnsi="Times New Roman" w:cs="Times New Roman"/>
          <w:color w:val="222222"/>
          <w:sz w:val="24"/>
          <w:szCs w:val="24"/>
        </w:rPr>
        <w:t>Б</w:t>
      </w:r>
      <w:r w:rsidRPr="00CE71E7">
        <w:rPr>
          <w:rFonts w:ascii="Times New Roman" w:eastAsia="Times New Roman" w:hAnsi="Times New Roman" w:cs="Times New Roman"/>
          <w:color w:val="222222"/>
          <w:sz w:val="24"/>
          <w:szCs w:val="24"/>
          <w:lang w:val="en-US"/>
        </w:rPr>
        <w:t xml:space="preserve">. (2018). </w:t>
      </w:r>
      <w:r w:rsidRPr="00347B12">
        <w:rPr>
          <w:rFonts w:ascii="Times New Roman" w:eastAsia="Times New Roman" w:hAnsi="Times New Roman" w:cs="Times New Roman"/>
          <w:color w:val="222222"/>
          <w:sz w:val="24"/>
          <w:szCs w:val="24"/>
        </w:rPr>
        <w:t>Возрастные и гендерные особенности предрасположенности человека к рискованному поведению. </w:t>
      </w:r>
      <w:r w:rsidRPr="00347B12">
        <w:rPr>
          <w:rFonts w:ascii="Times New Roman" w:eastAsia="Times New Roman" w:hAnsi="Times New Roman" w:cs="Times New Roman"/>
          <w:i/>
          <w:color w:val="222222"/>
          <w:sz w:val="24"/>
          <w:szCs w:val="24"/>
        </w:rPr>
        <w:t>Личность в меняющемся мире: здоровье, адаптация, развитие</w:t>
      </w:r>
      <w:r w:rsidRPr="00347B12">
        <w:rPr>
          <w:rFonts w:ascii="Times New Roman" w:eastAsia="Times New Roman" w:hAnsi="Times New Roman" w:cs="Times New Roman"/>
          <w:color w:val="222222"/>
          <w:sz w:val="24"/>
          <w:szCs w:val="24"/>
        </w:rPr>
        <w:t>, 6(4 (23)), 741-756.</w:t>
      </w:r>
    </w:p>
    <w:p w:rsidR="00157916" w:rsidRDefault="00347B12" w:rsidP="00157916">
      <w:pPr>
        <w:spacing w:after="0" w:line="360" w:lineRule="auto"/>
        <w:ind w:firstLine="709"/>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rPr>
        <w:t>Родионова</w:t>
      </w:r>
      <w:r w:rsidRPr="00600E9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Л</w:t>
      </w:r>
      <w:r w:rsidRPr="00600E9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А</w:t>
      </w:r>
      <w:r w:rsidRPr="00600E92">
        <w:rPr>
          <w:rFonts w:ascii="Times New Roman" w:eastAsia="Times New Roman" w:hAnsi="Times New Roman" w:cs="Times New Roman"/>
          <w:color w:val="222222"/>
          <w:sz w:val="24"/>
          <w:szCs w:val="24"/>
        </w:rPr>
        <w:t>.,</w:t>
      </w:r>
      <w:r w:rsidR="00157916" w:rsidRPr="00600E92">
        <w:rPr>
          <w:rFonts w:ascii="Times New Roman" w:eastAsia="Times New Roman" w:hAnsi="Times New Roman" w:cs="Times New Roman"/>
          <w:color w:val="222222"/>
          <w:sz w:val="24"/>
          <w:szCs w:val="24"/>
        </w:rPr>
        <w:t xml:space="preserve"> </w:t>
      </w:r>
      <w:r w:rsidR="00157916" w:rsidRPr="005376BA">
        <w:rPr>
          <w:rFonts w:ascii="Times New Roman" w:eastAsia="Times New Roman" w:hAnsi="Times New Roman" w:cs="Times New Roman"/>
          <w:color w:val="222222"/>
          <w:sz w:val="24"/>
          <w:szCs w:val="24"/>
        </w:rPr>
        <w:t>Копнова</w:t>
      </w:r>
      <w:r w:rsidR="00157916" w:rsidRPr="00600E92">
        <w:rPr>
          <w:rFonts w:ascii="Times New Roman" w:eastAsia="Times New Roman" w:hAnsi="Times New Roman" w:cs="Times New Roman"/>
          <w:color w:val="222222"/>
          <w:sz w:val="24"/>
          <w:szCs w:val="24"/>
        </w:rPr>
        <w:t xml:space="preserve">, </w:t>
      </w:r>
      <w:r w:rsidR="00157916" w:rsidRPr="005376BA">
        <w:rPr>
          <w:rFonts w:ascii="Times New Roman" w:eastAsia="Times New Roman" w:hAnsi="Times New Roman" w:cs="Times New Roman"/>
          <w:color w:val="222222"/>
          <w:sz w:val="24"/>
          <w:szCs w:val="24"/>
        </w:rPr>
        <w:t>Е</w:t>
      </w:r>
      <w:r w:rsidR="00157916" w:rsidRPr="00600E92">
        <w:rPr>
          <w:rFonts w:ascii="Times New Roman" w:eastAsia="Times New Roman" w:hAnsi="Times New Roman" w:cs="Times New Roman"/>
          <w:color w:val="222222"/>
          <w:sz w:val="24"/>
          <w:szCs w:val="24"/>
        </w:rPr>
        <w:t xml:space="preserve">. </w:t>
      </w:r>
      <w:r w:rsidR="00157916" w:rsidRPr="005376BA">
        <w:rPr>
          <w:rFonts w:ascii="Times New Roman" w:eastAsia="Times New Roman" w:hAnsi="Times New Roman" w:cs="Times New Roman"/>
          <w:color w:val="222222"/>
          <w:sz w:val="24"/>
          <w:szCs w:val="24"/>
        </w:rPr>
        <w:t>Д</w:t>
      </w:r>
      <w:r w:rsidR="00157916" w:rsidRPr="00600E92">
        <w:rPr>
          <w:rFonts w:ascii="Times New Roman" w:eastAsia="Times New Roman" w:hAnsi="Times New Roman" w:cs="Times New Roman"/>
          <w:color w:val="222222"/>
          <w:sz w:val="24"/>
          <w:szCs w:val="24"/>
        </w:rPr>
        <w:t xml:space="preserve">. (2019). </w:t>
      </w:r>
      <w:r w:rsidR="00157916" w:rsidRPr="005376BA">
        <w:rPr>
          <w:rFonts w:ascii="Times New Roman" w:eastAsia="Times New Roman" w:hAnsi="Times New Roman" w:cs="Times New Roman"/>
          <w:color w:val="222222"/>
          <w:sz w:val="24"/>
          <w:szCs w:val="24"/>
        </w:rPr>
        <w:t>Статистические подходы к анализу и моделированию сезонности в демографических данных. </w:t>
      </w:r>
      <w:r w:rsidR="00157916" w:rsidRPr="005376BA">
        <w:rPr>
          <w:rFonts w:ascii="Times New Roman" w:eastAsia="Times New Roman" w:hAnsi="Times New Roman" w:cs="Times New Roman"/>
          <w:i/>
          <w:color w:val="222222"/>
          <w:sz w:val="24"/>
          <w:szCs w:val="24"/>
        </w:rPr>
        <w:t>Демографическое обозрение</w:t>
      </w:r>
      <w:r w:rsidR="00157916" w:rsidRPr="005376BA">
        <w:rPr>
          <w:rFonts w:ascii="Times New Roman" w:eastAsia="Times New Roman" w:hAnsi="Times New Roman" w:cs="Times New Roman"/>
          <w:color w:val="222222"/>
          <w:sz w:val="24"/>
          <w:szCs w:val="24"/>
        </w:rPr>
        <w:t>, 6(2), 104-141.</w:t>
      </w:r>
    </w:p>
    <w:sectPr w:rsidR="0015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EE"/>
    <w:rsid w:val="000E6FC1"/>
    <w:rsid w:val="00157916"/>
    <w:rsid w:val="002341B4"/>
    <w:rsid w:val="002C1F04"/>
    <w:rsid w:val="002D1428"/>
    <w:rsid w:val="00347B12"/>
    <w:rsid w:val="003F1782"/>
    <w:rsid w:val="00536823"/>
    <w:rsid w:val="005376BA"/>
    <w:rsid w:val="00600E92"/>
    <w:rsid w:val="006C77BA"/>
    <w:rsid w:val="007C3C6A"/>
    <w:rsid w:val="009E42DA"/>
    <w:rsid w:val="00A343AF"/>
    <w:rsid w:val="00A35F7F"/>
    <w:rsid w:val="00BA6E34"/>
    <w:rsid w:val="00CB6C3F"/>
    <w:rsid w:val="00CE71E7"/>
    <w:rsid w:val="00D52CEE"/>
    <w:rsid w:val="00E32F27"/>
    <w:rsid w:val="00EA138F"/>
    <w:rsid w:val="00ED4AD3"/>
    <w:rsid w:val="00F45429"/>
    <w:rsid w:val="00F8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63C"/>
  <w15:docId w15:val="{06263B89-D0D8-4624-BA94-038C9B2A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C6A"/>
  </w:style>
  <w:style w:type="paragraph" w:styleId="1">
    <w:name w:val="heading 1"/>
    <w:basedOn w:val="a"/>
    <w:next w:val="a"/>
    <w:link w:val="10"/>
    <w:uiPriority w:val="9"/>
    <w:qFormat/>
    <w:rsid w:val="007C3C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3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C6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C3C6A"/>
    <w:rPr>
      <w:rFonts w:asciiTheme="majorHAnsi" w:eastAsiaTheme="majorEastAsia" w:hAnsiTheme="majorHAnsi" w:cstheme="majorBidi"/>
      <w:color w:val="2F5496" w:themeColor="accent1" w:themeShade="BF"/>
      <w:sz w:val="26"/>
      <w:szCs w:val="26"/>
    </w:rPr>
  </w:style>
  <w:style w:type="paragraph" w:styleId="a3">
    <w:name w:val="No Spacing"/>
    <w:aliases w:val="Основной"/>
    <w:link w:val="a4"/>
    <w:qFormat/>
    <w:rsid w:val="00F45429"/>
    <w:pPr>
      <w:spacing w:after="0" w:line="360" w:lineRule="auto"/>
      <w:ind w:firstLine="709"/>
      <w:jc w:val="both"/>
    </w:pPr>
    <w:rPr>
      <w:rFonts w:ascii="Times New Roman" w:hAnsi="Times New Roman"/>
      <w:sz w:val="24"/>
    </w:rPr>
  </w:style>
  <w:style w:type="character" w:customStyle="1" w:styleId="a4">
    <w:name w:val="Без интервала Знак"/>
    <w:aliases w:val="Основной Знак"/>
    <w:basedOn w:val="a0"/>
    <w:link w:val="a3"/>
    <w:rsid w:val="00F45429"/>
    <w:rPr>
      <w:rFonts w:ascii="Times New Roman" w:hAnsi="Times New Roman"/>
      <w:sz w:val="24"/>
    </w:rPr>
  </w:style>
  <w:style w:type="table" w:styleId="a5">
    <w:name w:val="Table Grid"/>
    <w:basedOn w:val="a1"/>
    <w:uiPriority w:val="59"/>
    <w:rsid w:val="00F4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341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1B4"/>
    <w:rPr>
      <w:rFonts w:ascii="Tahoma" w:hAnsi="Tahoma" w:cs="Tahoma"/>
      <w:sz w:val="16"/>
      <w:szCs w:val="16"/>
    </w:rPr>
  </w:style>
  <w:style w:type="character" w:styleId="a8">
    <w:name w:val="Hyperlink"/>
    <w:basedOn w:val="a0"/>
    <w:uiPriority w:val="99"/>
    <w:unhideWhenUsed/>
    <w:rsid w:val="00347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polina.kuznetsova2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5201-4554-4B62-8FD9-C4A5694F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1610</Words>
  <Characters>9181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Kuznetsova</dc:creator>
  <cp:lastModifiedBy>Кузнецова Полина Олеговна</cp:lastModifiedBy>
  <cp:revision>3</cp:revision>
  <dcterms:created xsi:type="dcterms:W3CDTF">2022-11-15T13:12:00Z</dcterms:created>
  <dcterms:modified xsi:type="dcterms:W3CDTF">2022-11-15T13:48:00Z</dcterms:modified>
</cp:coreProperties>
</file>