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3923" w14:textId="4B36A067" w:rsidR="00CF4EFA" w:rsidRPr="00CF4EFA" w:rsidRDefault="00CF4EFA" w:rsidP="00AF1C17">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Macroeconomic Uncertainty Indicator</w:t>
      </w:r>
      <w:r w:rsidR="006B4809">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for Russia</w:t>
      </w:r>
    </w:p>
    <w:p w14:paraId="39D3DC8D" w14:textId="1561F194" w:rsidR="00CF4EFA" w:rsidRPr="00CF4EFA" w:rsidRDefault="00CF4EFA" w:rsidP="00C06454">
      <w:pPr>
        <w:spacing w:after="0" w:line="360" w:lineRule="auto"/>
        <w:rPr>
          <w:rFonts w:ascii="Times New Roman" w:hAnsi="Times New Roman" w:cs="Times New Roman"/>
          <w:b/>
          <w:bCs/>
          <w:i/>
          <w:iCs/>
          <w:sz w:val="24"/>
          <w:szCs w:val="24"/>
          <w:lang w:val="en-US"/>
        </w:rPr>
      </w:pPr>
      <w:proofErr w:type="spellStart"/>
      <w:r>
        <w:rPr>
          <w:rFonts w:ascii="Times New Roman" w:hAnsi="Times New Roman" w:cs="Times New Roman"/>
          <w:b/>
          <w:bCs/>
          <w:i/>
          <w:iCs/>
          <w:sz w:val="24"/>
          <w:szCs w:val="24"/>
          <w:lang w:val="en-US"/>
        </w:rPr>
        <w:t>I.Prilepskiy</w:t>
      </w:r>
      <w:proofErr w:type="spellEnd"/>
      <w:r>
        <w:rPr>
          <w:rStyle w:val="ab"/>
          <w:rFonts w:ascii="Times New Roman" w:hAnsi="Times New Roman" w:cs="Times New Roman"/>
          <w:b/>
          <w:bCs/>
          <w:i/>
          <w:iCs/>
          <w:sz w:val="24"/>
          <w:szCs w:val="24"/>
          <w:lang w:val="en-US"/>
        </w:rPr>
        <w:footnoteReference w:id="1"/>
      </w:r>
    </w:p>
    <w:p w14:paraId="14A6FC7F" w14:textId="4FD81304" w:rsidR="00B46686" w:rsidRDefault="00B42ABF" w:rsidP="00AF1C17">
      <w:pPr>
        <w:spacing w:after="0" w:line="360" w:lineRule="auto"/>
        <w:jc w:val="both"/>
        <w:rPr>
          <w:rFonts w:ascii="Times New Roman" w:hAnsi="Times New Roman" w:cs="Times New Roman"/>
          <w:sz w:val="24"/>
          <w:szCs w:val="24"/>
        </w:rPr>
      </w:pPr>
      <w:r w:rsidRPr="00CF4EFA">
        <w:rPr>
          <w:rFonts w:ascii="Times New Roman" w:hAnsi="Times New Roman" w:cs="Times New Roman"/>
          <w:sz w:val="24"/>
          <w:szCs w:val="24"/>
          <w:lang w:val="en-US"/>
        </w:rPr>
        <w:tab/>
      </w:r>
      <w:r w:rsidR="00AF1C17">
        <w:rPr>
          <w:rFonts w:ascii="Times New Roman" w:hAnsi="Times New Roman" w:cs="Times New Roman"/>
          <w:sz w:val="24"/>
          <w:szCs w:val="24"/>
        </w:rPr>
        <w:t xml:space="preserve"> </w:t>
      </w:r>
    </w:p>
    <w:p w14:paraId="7EBCB312" w14:textId="4B5325A5" w:rsidR="00CF4EFA" w:rsidRPr="00560645" w:rsidRDefault="00CF4EFA" w:rsidP="00AF1C1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Over</w:t>
      </w:r>
      <w:r w:rsidRPr="00CF4EF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F4EFA">
        <w:rPr>
          <w:rFonts w:ascii="Times New Roman" w:hAnsi="Times New Roman" w:cs="Times New Roman"/>
          <w:sz w:val="24"/>
          <w:szCs w:val="24"/>
          <w:lang w:val="en-US"/>
        </w:rPr>
        <w:t xml:space="preserve"> </w:t>
      </w:r>
      <w:r>
        <w:rPr>
          <w:rFonts w:ascii="Times New Roman" w:hAnsi="Times New Roman" w:cs="Times New Roman"/>
          <w:sz w:val="24"/>
          <w:szCs w:val="24"/>
          <w:lang w:val="en-US"/>
        </w:rPr>
        <w:t>last</w:t>
      </w:r>
      <w:r w:rsidRPr="00CF4EFA">
        <w:rPr>
          <w:rFonts w:ascii="Times New Roman" w:hAnsi="Times New Roman" w:cs="Times New Roman"/>
          <w:sz w:val="24"/>
          <w:szCs w:val="24"/>
          <w:lang w:val="en-US"/>
        </w:rPr>
        <w:t xml:space="preserve"> </w:t>
      </w:r>
      <w:r>
        <w:rPr>
          <w:rFonts w:ascii="Times New Roman" w:hAnsi="Times New Roman" w:cs="Times New Roman"/>
          <w:sz w:val="24"/>
          <w:szCs w:val="24"/>
          <w:lang w:val="en-US"/>
        </w:rPr>
        <w:t>decade</w:t>
      </w:r>
      <w:r w:rsidRPr="00CF4E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has been a spike in </w:t>
      </w:r>
      <w:r w:rsidR="00AB52F2">
        <w:rPr>
          <w:rFonts w:ascii="Times New Roman" w:hAnsi="Times New Roman" w:cs="Times New Roman"/>
          <w:sz w:val="24"/>
          <w:szCs w:val="24"/>
          <w:lang w:val="en-US"/>
        </w:rPr>
        <w:t>interest in</w:t>
      </w:r>
      <w:r>
        <w:rPr>
          <w:rFonts w:ascii="Times New Roman" w:hAnsi="Times New Roman" w:cs="Times New Roman"/>
          <w:sz w:val="24"/>
          <w:szCs w:val="24"/>
          <w:lang w:val="en-US"/>
        </w:rPr>
        <w:t xml:space="preserve"> economic uncertainty and its growth </w:t>
      </w:r>
      <w:r w:rsidR="00560645">
        <w:rPr>
          <w:rFonts w:ascii="Times New Roman" w:hAnsi="Times New Roman" w:cs="Times New Roman"/>
          <w:sz w:val="24"/>
          <w:szCs w:val="24"/>
          <w:lang w:val="en-US"/>
        </w:rPr>
        <w:t>effect</w:t>
      </w:r>
      <w:r>
        <w:rPr>
          <w:rFonts w:ascii="Times New Roman" w:hAnsi="Times New Roman" w:cs="Times New Roman"/>
          <w:sz w:val="24"/>
          <w:szCs w:val="24"/>
          <w:lang w:val="en-US"/>
        </w:rPr>
        <w:t xml:space="preserve">s, largely due to the experience of 2008-2009, when uncertainty </w:t>
      </w:r>
      <w:r w:rsidR="00560645">
        <w:rPr>
          <w:rFonts w:ascii="Times New Roman" w:hAnsi="Times New Roman" w:cs="Times New Roman"/>
          <w:sz w:val="24"/>
          <w:szCs w:val="24"/>
          <w:lang w:val="en-US"/>
        </w:rPr>
        <w:t>played a major role in the propagation of the global financial crisis. Defined</w:t>
      </w:r>
      <w:r w:rsidR="00560645" w:rsidRPr="00560645">
        <w:rPr>
          <w:rFonts w:ascii="Times New Roman" w:hAnsi="Times New Roman" w:cs="Times New Roman"/>
          <w:sz w:val="24"/>
          <w:szCs w:val="24"/>
          <w:lang w:val="en-US"/>
        </w:rPr>
        <w:t xml:space="preserve"> </w:t>
      </w:r>
      <w:r w:rsidR="00560645">
        <w:rPr>
          <w:rFonts w:ascii="Times New Roman" w:hAnsi="Times New Roman" w:cs="Times New Roman"/>
          <w:sz w:val="24"/>
          <w:szCs w:val="24"/>
          <w:lang w:val="en-US"/>
        </w:rPr>
        <w:t>as</w:t>
      </w:r>
      <w:r w:rsidR="00560645" w:rsidRPr="00560645">
        <w:rPr>
          <w:rFonts w:ascii="Times New Roman" w:hAnsi="Times New Roman" w:cs="Times New Roman"/>
          <w:sz w:val="24"/>
          <w:szCs w:val="24"/>
          <w:lang w:val="en-US"/>
        </w:rPr>
        <w:t xml:space="preserve"> </w:t>
      </w:r>
      <w:r w:rsidR="00560645">
        <w:rPr>
          <w:rFonts w:ascii="Times New Roman" w:hAnsi="Times New Roman" w:cs="Times New Roman"/>
          <w:sz w:val="24"/>
          <w:szCs w:val="24"/>
          <w:lang w:val="en-US"/>
        </w:rPr>
        <w:t>an</w:t>
      </w:r>
      <w:r w:rsidR="00560645" w:rsidRPr="00560645">
        <w:rPr>
          <w:rFonts w:ascii="Times New Roman" w:hAnsi="Times New Roman" w:cs="Times New Roman"/>
          <w:sz w:val="24"/>
          <w:szCs w:val="24"/>
          <w:lang w:val="en-US"/>
        </w:rPr>
        <w:t xml:space="preserve"> </w:t>
      </w:r>
      <w:r w:rsidR="00560645">
        <w:rPr>
          <w:rFonts w:ascii="Times New Roman" w:hAnsi="Times New Roman" w:cs="Times New Roman"/>
          <w:sz w:val="24"/>
          <w:szCs w:val="24"/>
          <w:lang w:val="en-US"/>
        </w:rPr>
        <w:t>unpredictable</w:t>
      </w:r>
      <w:r w:rsidR="00560645" w:rsidRPr="00560645">
        <w:rPr>
          <w:rFonts w:ascii="Times New Roman" w:hAnsi="Times New Roman" w:cs="Times New Roman"/>
          <w:sz w:val="24"/>
          <w:szCs w:val="24"/>
          <w:lang w:val="en-US"/>
        </w:rPr>
        <w:t xml:space="preserve"> </w:t>
      </w:r>
      <w:r w:rsidR="00560645">
        <w:rPr>
          <w:rFonts w:ascii="Times New Roman" w:hAnsi="Times New Roman" w:cs="Times New Roman"/>
          <w:sz w:val="24"/>
          <w:szCs w:val="24"/>
          <w:lang w:val="en-US"/>
        </w:rPr>
        <w:t>component</w:t>
      </w:r>
      <w:r w:rsidR="00560645" w:rsidRPr="00560645">
        <w:rPr>
          <w:rFonts w:ascii="Times New Roman" w:hAnsi="Times New Roman" w:cs="Times New Roman"/>
          <w:sz w:val="24"/>
          <w:szCs w:val="24"/>
          <w:lang w:val="en-US"/>
        </w:rPr>
        <w:t xml:space="preserve"> </w:t>
      </w:r>
      <w:r w:rsidR="00560645">
        <w:rPr>
          <w:rFonts w:ascii="Times New Roman" w:hAnsi="Times New Roman" w:cs="Times New Roman"/>
          <w:sz w:val="24"/>
          <w:szCs w:val="24"/>
          <w:lang w:val="en-US"/>
        </w:rPr>
        <w:t>of</w:t>
      </w:r>
      <w:r w:rsidR="00560645" w:rsidRPr="00560645">
        <w:rPr>
          <w:rFonts w:ascii="Times New Roman" w:hAnsi="Times New Roman" w:cs="Times New Roman"/>
          <w:sz w:val="24"/>
          <w:szCs w:val="24"/>
          <w:lang w:val="en-US"/>
        </w:rPr>
        <w:t xml:space="preserve"> </w:t>
      </w:r>
      <w:r w:rsidR="00560645">
        <w:rPr>
          <w:rFonts w:ascii="Times New Roman" w:hAnsi="Times New Roman" w:cs="Times New Roman"/>
          <w:sz w:val="24"/>
          <w:szCs w:val="24"/>
          <w:lang w:val="en-US"/>
        </w:rPr>
        <w:t>volatility of economic shocks, it can negatively impact growth through avoidance of investment in the presence of fixed costs (a ‘real options’ effect), increase in precautionary saving, or tightening of financial conditions.</w:t>
      </w:r>
    </w:p>
    <w:p w14:paraId="31BCD8EE" w14:textId="6583B7F1" w:rsidR="00560645" w:rsidRDefault="00560645" w:rsidP="00AF1C1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Common approaches to constructing uncertainty indicators include:</w:t>
      </w:r>
    </w:p>
    <w:p w14:paraId="09347CA9" w14:textId="69A19A9C" w:rsidR="00560645" w:rsidRDefault="00560645" w:rsidP="00AF1C1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utilizing financial variables, such as the VIX index reflecting investors’ expectations of future 30-day US stock market volatility and calculated based on prices of options on S&amp;P 500 Index;</w:t>
      </w:r>
    </w:p>
    <w:p w14:paraId="0C9CD729" w14:textId="77777777" w:rsidR="00560645" w:rsidRDefault="00560645" w:rsidP="00AF1C1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calculating economic policy uncertainty based on newspaper articles; estimating uncertainty related to geopolitical risks represents a related approach;</w:t>
      </w:r>
    </w:p>
    <w:p w14:paraId="77B54B9A" w14:textId="53728D21" w:rsidR="00560645" w:rsidRPr="00560645" w:rsidRDefault="00560645" w:rsidP="00AF1C1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direct assessment of uncertainty as </w:t>
      </w:r>
      <w:r w:rsidR="00BF143E">
        <w:rPr>
          <w:rFonts w:ascii="Times New Roman" w:hAnsi="Times New Roman" w:cs="Times New Roman"/>
          <w:sz w:val="24"/>
          <w:szCs w:val="24"/>
          <w:lang w:val="en-US"/>
        </w:rPr>
        <w:t>‘</w:t>
      </w:r>
      <w:proofErr w:type="spellStart"/>
      <w:r w:rsidR="00BF143E">
        <w:rPr>
          <w:rFonts w:ascii="Times New Roman" w:hAnsi="Times New Roman" w:cs="Times New Roman"/>
          <w:sz w:val="24"/>
          <w:szCs w:val="24"/>
          <w:lang w:val="en-US"/>
        </w:rPr>
        <w:t>unforecastability</w:t>
      </w:r>
      <w:proofErr w:type="spellEnd"/>
      <w:r w:rsidR="00BF143E">
        <w:rPr>
          <w:rFonts w:ascii="Times New Roman" w:hAnsi="Times New Roman" w:cs="Times New Roman"/>
          <w:sz w:val="24"/>
          <w:szCs w:val="24"/>
          <w:lang w:val="en-US"/>
        </w:rPr>
        <w:t xml:space="preserve">’ of economic dynamics, which can be performed both non-parametrically (based on surveys) and through analyzing the variance of forecast errors constructed based </w:t>
      </w:r>
      <w:r w:rsidR="00AB52F2">
        <w:rPr>
          <w:rFonts w:ascii="Times New Roman" w:hAnsi="Times New Roman" w:cs="Times New Roman"/>
          <w:sz w:val="24"/>
          <w:szCs w:val="24"/>
          <w:lang w:val="en-US"/>
        </w:rPr>
        <w:t>o</w:t>
      </w:r>
      <w:r w:rsidR="00BF143E">
        <w:rPr>
          <w:rFonts w:ascii="Times New Roman" w:hAnsi="Times New Roman" w:cs="Times New Roman"/>
          <w:sz w:val="24"/>
          <w:szCs w:val="24"/>
          <w:lang w:val="en-US"/>
        </w:rPr>
        <w:t>n parametric models (Jurado et al., 2015)</w:t>
      </w:r>
      <w:r>
        <w:rPr>
          <w:rFonts w:ascii="Times New Roman" w:hAnsi="Times New Roman" w:cs="Times New Roman"/>
          <w:sz w:val="24"/>
          <w:szCs w:val="24"/>
          <w:lang w:val="en-US"/>
        </w:rPr>
        <w:t xml:space="preserve"> </w:t>
      </w:r>
    </w:p>
    <w:p w14:paraId="5EC840B9" w14:textId="5EE0C605" w:rsidR="00BF143E" w:rsidRPr="00171702" w:rsidRDefault="00BB12CE" w:rsidP="00DD1388">
      <w:pPr>
        <w:spacing w:after="0" w:line="360" w:lineRule="auto"/>
        <w:jc w:val="both"/>
        <w:rPr>
          <w:rFonts w:ascii="Times New Roman" w:hAnsi="Times New Roman" w:cs="Times New Roman"/>
          <w:sz w:val="24"/>
          <w:szCs w:val="24"/>
          <w:lang w:val="en-US"/>
        </w:rPr>
      </w:pPr>
      <w:r w:rsidRPr="00560645">
        <w:rPr>
          <w:rFonts w:ascii="Times New Roman" w:hAnsi="Times New Roman" w:cs="Times New Roman"/>
          <w:sz w:val="24"/>
          <w:szCs w:val="24"/>
          <w:lang w:val="en-US"/>
        </w:rPr>
        <w:tab/>
      </w:r>
      <w:r w:rsidR="00BF143E">
        <w:rPr>
          <w:rFonts w:ascii="Times New Roman" w:hAnsi="Times New Roman" w:cs="Times New Roman"/>
          <w:sz w:val="24"/>
          <w:szCs w:val="24"/>
          <w:lang w:val="en-US"/>
        </w:rPr>
        <w:t>Uncertainty-related topics are especially relevant for Russia. First, all major oil-producing countries face high volatility of external conditions. Second, in the recent years Russia</w:t>
      </w:r>
      <w:r w:rsidR="00621340">
        <w:rPr>
          <w:rFonts w:ascii="Times New Roman" w:hAnsi="Times New Roman" w:cs="Times New Roman"/>
          <w:sz w:val="24"/>
          <w:szCs w:val="24"/>
          <w:lang w:val="en-US"/>
        </w:rPr>
        <w:t xml:space="preserve"> has</w:t>
      </w:r>
      <w:r w:rsidR="00BF143E">
        <w:rPr>
          <w:rFonts w:ascii="Times New Roman" w:hAnsi="Times New Roman" w:cs="Times New Roman"/>
          <w:sz w:val="24"/>
          <w:szCs w:val="24"/>
          <w:lang w:val="en-US"/>
        </w:rPr>
        <w:t xml:space="preserve"> been dealing with a new source of uncertainty due to sanctions. However, the number of studies on this topic remains low, and those studies mainly tackle economic policy uncertainty</w:t>
      </w:r>
      <w:r w:rsidR="007E20BC" w:rsidRPr="007E20BC">
        <w:rPr>
          <w:rFonts w:ascii="Times New Roman" w:hAnsi="Times New Roman" w:cs="Times New Roman"/>
          <w:sz w:val="24"/>
          <w:szCs w:val="24"/>
          <w:lang w:val="en-US"/>
        </w:rPr>
        <w:t xml:space="preserve"> (</w:t>
      </w:r>
      <w:proofErr w:type="spellStart"/>
      <w:r w:rsidR="007E20BC">
        <w:rPr>
          <w:rFonts w:ascii="Times New Roman" w:hAnsi="Times New Roman" w:cs="Times New Roman"/>
          <w:sz w:val="24"/>
          <w:szCs w:val="24"/>
          <w:lang w:val="en-US"/>
        </w:rPr>
        <w:t>Fedorova</w:t>
      </w:r>
      <w:proofErr w:type="spellEnd"/>
      <w:r w:rsidR="007E20BC">
        <w:rPr>
          <w:rFonts w:ascii="Times New Roman" w:hAnsi="Times New Roman" w:cs="Times New Roman"/>
          <w:sz w:val="24"/>
          <w:szCs w:val="24"/>
          <w:lang w:val="en-US"/>
        </w:rPr>
        <w:t xml:space="preserve"> et al., 2019; </w:t>
      </w:r>
      <w:proofErr w:type="spellStart"/>
      <w:r w:rsidR="00191B88">
        <w:rPr>
          <w:rFonts w:ascii="Times New Roman" w:hAnsi="Times New Roman" w:cs="Times New Roman"/>
          <w:sz w:val="24"/>
          <w:szCs w:val="24"/>
          <w:lang w:val="en-US"/>
        </w:rPr>
        <w:t>Naidenova</w:t>
      </w:r>
      <w:proofErr w:type="spellEnd"/>
      <w:r w:rsidR="00191B88">
        <w:rPr>
          <w:rFonts w:ascii="Times New Roman" w:hAnsi="Times New Roman" w:cs="Times New Roman"/>
          <w:sz w:val="24"/>
          <w:szCs w:val="24"/>
          <w:lang w:val="en-US"/>
        </w:rPr>
        <w:t xml:space="preserve">, </w:t>
      </w:r>
      <w:proofErr w:type="spellStart"/>
      <w:r w:rsidR="00191B88">
        <w:rPr>
          <w:rFonts w:ascii="Times New Roman" w:hAnsi="Times New Roman" w:cs="Times New Roman"/>
          <w:sz w:val="24"/>
          <w:szCs w:val="24"/>
          <w:lang w:val="en-US"/>
        </w:rPr>
        <w:t>Leonteva</w:t>
      </w:r>
      <w:proofErr w:type="spellEnd"/>
      <w:r w:rsidR="00191B88">
        <w:rPr>
          <w:rFonts w:ascii="Times New Roman" w:hAnsi="Times New Roman" w:cs="Times New Roman"/>
          <w:sz w:val="24"/>
          <w:szCs w:val="24"/>
          <w:lang w:val="en-US"/>
        </w:rPr>
        <w:t>, 2020).</w:t>
      </w:r>
      <w:r w:rsidR="00171702">
        <w:rPr>
          <w:rFonts w:ascii="Times New Roman" w:hAnsi="Times New Roman" w:cs="Times New Roman"/>
          <w:sz w:val="24"/>
          <w:szCs w:val="24"/>
          <w:lang w:val="en-US"/>
        </w:rPr>
        <w:t xml:space="preserve"> The aim of this study is to construct an indicator of macroeconomic uncertainty based on (Jurado et al., 2015) methodology, compare it with alternative uncertainty indicators, and analyze its impact on macroeconomic variables.</w:t>
      </w:r>
    </w:p>
    <w:p w14:paraId="3A1AF307" w14:textId="68A1D075" w:rsidR="00171702" w:rsidRPr="00171702" w:rsidRDefault="00A63EAF" w:rsidP="00A63EAF">
      <w:pPr>
        <w:spacing w:after="0" w:line="360" w:lineRule="auto"/>
        <w:jc w:val="both"/>
        <w:rPr>
          <w:rFonts w:ascii="Times New Roman" w:hAnsi="Times New Roman" w:cs="Times New Roman"/>
          <w:sz w:val="24"/>
          <w:szCs w:val="24"/>
          <w:lang w:val="en-US"/>
        </w:rPr>
      </w:pPr>
      <w:r w:rsidRPr="00BF143E">
        <w:rPr>
          <w:rFonts w:ascii="Times New Roman" w:hAnsi="Times New Roman" w:cs="Times New Roman"/>
          <w:sz w:val="24"/>
          <w:szCs w:val="24"/>
          <w:lang w:val="en-US"/>
        </w:rPr>
        <w:tab/>
      </w:r>
      <w:r w:rsidR="00171702">
        <w:rPr>
          <w:rFonts w:ascii="Times New Roman" w:hAnsi="Times New Roman" w:cs="Times New Roman"/>
          <w:sz w:val="24"/>
          <w:szCs w:val="24"/>
          <w:lang w:val="en-US"/>
        </w:rPr>
        <w:t xml:space="preserve">This approach involves defining macroeconomic uncertainty as a weighted sum of conditional volatilities of forecast errors (with horizon </w:t>
      </w:r>
      <w:r w:rsidR="00171702" w:rsidRPr="00171702">
        <w:rPr>
          <w:rFonts w:ascii="Times New Roman" w:hAnsi="Times New Roman" w:cs="Times New Roman"/>
          <w:i/>
          <w:iCs/>
          <w:sz w:val="24"/>
          <w:szCs w:val="24"/>
          <w:lang w:val="en-US"/>
        </w:rPr>
        <w:t>h</w:t>
      </w:r>
      <w:r w:rsidR="00171702">
        <w:rPr>
          <w:rFonts w:ascii="Times New Roman" w:hAnsi="Times New Roman" w:cs="Times New Roman"/>
          <w:sz w:val="24"/>
          <w:szCs w:val="24"/>
          <w:lang w:val="en-US"/>
        </w:rPr>
        <w:t xml:space="preserve">) </w:t>
      </w:r>
      <w:proofErr w:type="gramStart"/>
      <w:r w:rsidR="00171702">
        <w:rPr>
          <w:rFonts w:ascii="Times New Roman" w:hAnsi="Times New Roman" w:cs="Times New Roman"/>
          <w:sz w:val="24"/>
          <w:szCs w:val="24"/>
          <w:lang w:val="en-US"/>
        </w:rPr>
        <w:t>for  a</w:t>
      </w:r>
      <w:proofErr w:type="gramEnd"/>
      <w:r w:rsidR="00171702">
        <w:rPr>
          <w:rFonts w:ascii="Times New Roman" w:hAnsi="Times New Roman" w:cs="Times New Roman"/>
          <w:sz w:val="24"/>
          <w:szCs w:val="24"/>
          <w:lang w:val="en-US"/>
        </w:rPr>
        <w:t xml:space="preserve"> set of economic and financial variables:</w:t>
      </w:r>
    </w:p>
    <w:p w14:paraId="2CCAC119" w14:textId="29FA481F" w:rsidR="00A63EAF" w:rsidRDefault="007741CF" w:rsidP="00A137D5">
      <w:pPr>
        <w:spacing w:after="0" w:line="360" w:lineRule="auto"/>
        <w:jc w:val="center"/>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m:rPr>
            <m:sty m:val="p"/>
          </m:rPr>
          <w:rPr>
            <w:rFonts w:ascii="Cambria Math" w:hAnsi="Cambria Math" w:cs="Times New Roman"/>
            <w:sz w:val="24"/>
            <w:szCs w:val="24"/>
          </w:rPr>
          <m:t>(</m:t>
        </m:r>
        <m:r>
          <m:rPr>
            <m:sty m:val="p"/>
          </m:rPr>
          <w:rPr>
            <w:rFonts w:ascii="Cambria Math" w:hAnsi="Cambria Math" w:cs="Times New Roman"/>
            <w:sz w:val="24"/>
            <w:szCs w:val="24"/>
            <w:lang w:val="en-US"/>
          </w:rPr>
          <m:t>h</m:t>
        </m:r>
        <m:r>
          <m:rPr>
            <m:sty m:val="p"/>
          </m:rPr>
          <w:rPr>
            <w:rFonts w:ascii="Cambria Math" w:hAnsi="Cambria Math" w:cs="Times New Roman"/>
            <w:sz w:val="24"/>
            <w:szCs w:val="24"/>
          </w:rPr>
          <m:t>)=</m:t>
        </m:r>
        <m:nary>
          <m:naryPr>
            <m:chr m:val="∑"/>
            <m:limLoc m:val="undOvr"/>
            <m:supHide m:val="1"/>
            <m:ctrlPr>
              <w:rPr>
                <w:rFonts w:ascii="Cambria Math" w:hAnsi="Cambria Math" w:cs="Times New Roman"/>
                <w:sz w:val="24"/>
                <w:szCs w:val="24"/>
                <w:lang w:val="en-US"/>
              </w:rPr>
            </m:ctrlPr>
          </m:naryPr>
          <m:sub>
            <m:r>
              <w:rPr>
                <w:rFonts w:ascii="Cambria Math" w:hAnsi="Cambria Math" w:cs="Times New Roman"/>
                <w:sz w:val="24"/>
                <w:szCs w:val="24"/>
                <w:lang w:val="en-US"/>
              </w:rPr>
              <m:t>j</m:t>
            </m: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U</m:t>
                </m:r>
              </m:e>
              <m:sub>
                <m:r>
                  <w:rPr>
                    <w:rFonts w:ascii="Cambria Math" w:hAnsi="Cambria Math" w:cs="Times New Roman"/>
                    <w:sz w:val="24"/>
                    <w:szCs w:val="24"/>
                    <w:lang w:val="en-US"/>
                  </w:rPr>
                  <m:t>t</m:t>
                </m:r>
              </m:sub>
              <m:sup>
                <m:d>
                  <m:dPr>
                    <m:ctrlPr>
                      <w:rPr>
                        <w:rFonts w:ascii="Cambria Math" w:hAnsi="Cambria Math" w:cs="Times New Roman"/>
                        <w:i/>
                        <w:sz w:val="24"/>
                        <w:szCs w:val="24"/>
                        <w:lang w:val="en-US"/>
                      </w:rPr>
                    </m:ctrlPr>
                  </m:dPr>
                  <m:e>
                    <m:r>
                      <w:rPr>
                        <w:rFonts w:ascii="Cambria Math" w:hAnsi="Cambria Math" w:cs="Times New Roman"/>
                        <w:sz w:val="24"/>
                        <w:szCs w:val="24"/>
                        <w:lang w:val="en-US"/>
                      </w:rPr>
                      <m:t>j</m:t>
                    </m:r>
                  </m:e>
                </m:d>
              </m:sup>
            </m:sSubSup>
            <m:d>
              <m:dPr>
                <m:ctrlPr>
                  <w:rPr>
                    <w:rFonts w:ascii="Cambria Math" w:hAnsi="Cambria Math" w:cs="Times New Roman"/>
                    <w:i/>
                    <w:sz w:val="24"/>
                    <w:szCs w:val="24"/>
                    <w:lang w:val="en-US"/>
                  </w:rPr>
                </m:ctrlPr>
              </m:dPr>
              <m:e>
                <m:r>
                  <w:rPr>
                    <w:rFonts w:ascii="Cambria Math" w:hAnsi="Cambria Math" w:cs="Times New Roman"/>
                    <w:sz w:val="24"/>
                    <w:szCs w:val="24"/>
                  </w:rPr>
                  <m:t>h</m:t>
                </m:r>
              </m:e>
            </m:d>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U</m:t>
                </m:r>
              </m:e>
              <m:sub>
                <m:r>
                  <w:rPr>
                    <w:rFonts w:ascii="Cambria Math" w:hAnsi="Cambria Math" w:cs="Times New Roman"/>
                    <w:sz w:val="24"/>
                    <w:szCs w:val="24"/>
                    <w:lang w:val="en-US"/>
                  </w:rPr>
                  <m:t>t</m:t>
                </m:r>
              </m:sub>
              <m:sup>
                <m:d>
                  <m:dPr>
                    <m:ctrlPr>
                      <w:rPr>
                        <w:rFonts w:ascii="Cambria Math" w:hAnsi="Cambria Math" w:cs="Times New Roman"/>
                        <w:i/>
                        <w:sz w:val="24"/>
                        <w:szCs w:val="24"/>
                        <w:lang w:val="en-US"/>
                      </w:rPr>
                    </m:ctrlPr>
                  </m:dPr>
                  <m:e>
                    <m:r>
                      <w:rPr>
                        <w:rFonts w:ascii="Cambria Math" w:hAnsi="Cambria Math" w:cs="Times New Roman"/>
                        <w:sz w:val="24"/>
                        <w:szCs w:val="24"/>
                        <w:lang w:val="en-US"/>
                      </w:rPr>
                      <m:t>j</m:t>
                    </m:r>
                  </m:e>
                </m:d>
              </m:sup>
            </m:sSubSup>
            <m:d>
              <m:dPr>
                <m:ctrlPr>
                  <w:rPr>
                    <w:rFonts w:ascii="Cambria Math" w:hAnsi="Cambria Math" w:cs="Times New Roman"/>
                    <w:i/>
                    <w:sz w:val="24"/>
                    <w:szCs w:val="24"/>
                    <w:lang w:val="en-US"/>
                  </w:rPr>
                </m:ctrlPr>
              </m:dPr>
              <m:e>
                <m:r>
                  <w:rPr>
                    <w:rFonts w:ascii="Cambria Math" w:hAnsi="Cambria Math" w:cs="Times New Roman"/>
                    <w:sz w:val="24"/>
                    <w:szCs w:val="24"/>
                  </w:rPr>
                  <m:t>h</m:t>
                </m:r>
              </m:e>
            </m:d>
            <m:r>
              <w:rPr>
                <w:rFonts w:ascii="Cambria Math" w:hAnsi="Cambria Math" w:cs="Times New Roman"/>
                <w:sz w:val="24"/>
                <w:szCs w:val="24"/>
              </w:rPr>
              <m:t>=</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E</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t</m:t>
                                </m:r>
                                <m:r>
                                  <w:rPr>
                                    <w:rFonts w:ascii="Cambria Math" w:hAnsi="Cambria Math" w:cs="Times New Roman"/>
                                    <w:sz w:val="24"/>
                                    <w:szCs w:val="24"/>
                                  </w:rPr>
                                  <m:t>+h</m:t>
                                </m:r>
                              </m:sub>
                              <m:sup>
                                <m:r>
                                  <w:rPr>
                                    <w:rFonts w:ascii="Cambria Math" w:hAnsi="Cambria Math" w:cs="Times New Roman"/>
                                    <w:sz w:val="24"/>
                                    <w:szCs w:val="24"/>
                                  </w:rPr>
                                  <m:t>(</m:t>
                                </m:r>
                                <m:r>
                                  <w:rPr>
                                    <w:rFonts w:ascii="Cambria Math" w:hAnsi="Cambria Math" w:cs="Times New Roman"/>
                                    <w:sz w:val="24"/>
                                    <w:szCs w:val="24"/>
                                    <w:lang w:val="en-US"/>
                                  </w:rPr>
                                  <m:t>j</m:t>
                                </m:r>
                                <m:r>
                                  <w:rPr>
                                    <w:rFonts w:ascii="Cambria Math" w:hAnsi="Cambria Math" w:cs="Times New Roman"/>
                                    <w:sz w:val="24"/>
                                    <w:szCs w:val="24"/>
                                  </w:rPr>
                                  <m:t>)</m:t>
                                </m:r>
                              </m:sup>
                            </m:sSubSup>
                            <m:r>
                              <w:rPr>
                                <w:rFonts w:ascii="Cambria Math" w:hAnsi="Cambria Math" w:cs="Times New Roman"/>
                                <w:sz w:val="24"/>
                                <w:szCs w:val="24"/>
                              </w:rPr>
                              <m:t>-</m:t>
                            </m:r>
                            <m:acc>
                              <m:accPr>
                                <m:ctrlPr>
                                  <w:rPr>
                                    <w:rFonts w:ascii="Cambria Math" w:hAnsi="Cambria Math" w:cs="Times New Roman"/>
                                    <w:i/>
                                    <w:sz w:val="24"/>
                                    <w:szCs w:val="24"/>
                                    <w:lang w:val="en-US"/>
                                  </w:rPr>
                                </m:ctrlPr>
                              </m:acc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y</m:t>
                                    </m:r>
                                  </m:e>
                                  <m:sub>
                                    <m:r>
                                      <w:rPr>
                                        <w:rFonts w:ascii="Cambria Math" w:hAnsi="Cambria Math" w:cs="Times New Roman"/>
                                        <w:sz w:val="24"/>
                                        <w:szCs w:val="24"/>
                                        <w:lang w:val="en-US"/>
                                      </w:rPr>
                                      <m:t>t</m:t>
                                    </m:r>
                                    <m:r>
                                      <w:rPr>
                                        <w:rFonts w:ascii="Cambria Math" w:hAnsi="Cambria Math" w:cs="Times New Roman"/>
                                        <w:sz w:val="24"/>
                                        <w:szCs w:val="24"/>
                                      </w:rPr>
                                      <m:t>+h</m:t>
                                    </m:r>
                                  </m:sub>
                                  <m:sup>
                                    <m:d>
                                      <m:dPr>
                                        <m:ctrlPr>
                                          <w:rPr>
                                            <w:rFonts w:ascii="Cambria Math" w:hAnsi="Cambria Math" w:cs="Times New Roman"/>
                                            <w:i/>
                                            <w:sz w:val="24"/>
                                            <w:szCs w:val="24"/>
                                            <w:lang w:val="en-US"/>
                                          </w:rPr>
                                        </m:ctrlPr>
                                      </m:dPr>
                                      <m:e>
                                        <m:r>
                                          <w:rPr>
                                            <w:rFonts w:ascii="Cambria Math" w:hAnsi="Cambria Math" w:cs="Times New Roman"/>
                                            <w:sz w:val="24"/>
                                            <w:szCs w:val="24"/>
                                            <w:lang w:val="en-US"/>
                                          </w:rPr>
                                          <m:t>j</m:t>
                                        </m:r>
                                      </m:e>
                                    </m:d>
                                  </m:sup>
                                </m:sSubSup>
                              </m:e>
                            </m:acc>
                            <m:r>
                              <w:rPr>
                                <w:rFonts w:ascii="Cambria Math" w:hAnsi="Cambria Math" w:cs="Times New Roman"/>
                                <w:sz w:val="24"/>
                                <w:szCs w:val="24"/>
                              </w:rPr>
                              <m:t>|</m:t>
                            </m:r>
                            <m:r>
                              <w:rPr>
                                <w:rFonts w:ascii="Cambria Math" w:hAnsi="Cambria Math" w:cs="Times New Roman"/>
                                <w:sz w:val="24"/>
                                <w:szCs w:val="24"/>
                                <w:lang w:val="en-US"/>
                              </w:rPr>
                              <m:t>t</m:t>
                            </m:r>
                          </m:e>
                        </m:d>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lang w:val="en-US"/>
                      </w:rPr>
                      <m:t>t</m:t>
                    </m:r>
                  </m:e>
                </m:d>
              </m:e>
            </m:rad>
            <m:r>
              <w:rPr>
                <w:rFonts w:ascii="Cambria Math" w:hAnsi="Cambria Math" w:cs="Times New Roman"/>
                <w:sz w:val="24"/>
                <w:szCs w:val="24"/>
              </w:rPr>
              <m:t xml:space="preserve"> </m:t>
            </m:r>
          </m:e>
        </m:nary>
      </m:oMath>
      <w:r w:rsidR="00A137D5">
        <w:rPr>
          <w:rFonts w:ascii="Times New Roman" w:eastAsiaTheme="minorEastAsia" w:hAnsi="Times New Roman" w:cs="Times New Roman"/>
          <w:sz w:val="24"/>
          <w:szCs w:val="24"/>
        </w:rPr>
        <w:t>.</w:t>
      </w:r>
      <w:r w:rsidR="007A01CA">
        <w:rPr>
          <w:rFonts w:ascii="Times New Roman" w:eastAsiaTheme="minorEastAsia" w:hAnsi="Times New Roman" w:cs="Times New Roman"/>
          <w:sz w:val="24"/>
          <w:szCs w:val="24"/>
        </w:rPr>
        <w:t xml:space="preserve">    (1)</w:t>
      </w:r>
    </w:p>
    <w:p w14:paraId="06774231" w14:textId="22C6FEC8" w:rsidR="00A137D5" w:rsidRDefault="00A137D5" w:rsidP="00A137D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14:paraId="14DB33B9" w14:textId="2E539397" w:rsidR="00360435" w:rsidRPr="00360435" w:rsidRDefault="00171702" w:rsidP="00360435">
      <w:pPr>
        <w:spacing w:after="0"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en-US"/>
        </w:rPr>
        <w:t xml:space="preserve">Monthly data for </w:t>
      </w:r>
      <w:r w:rsidRPr="00171702">
        <w:rPr>
          <w:rFonts w:ascii="Times New Roman" w:eastAsiaTheme="minorEastAsia" w:hAnsi="Times New Roman" w:cs="Times New Roman"/>
          <w:i/>
          <w:iCs/>
          <w:sz w:val="24"/>
          <w:szCs w:val="24"/>
          <w:lang w:val="en-US"/>
        </w:rPr>
        <w:t>N</w:t>
      </w:r>
      <w:r>
        <w:rPr>
          <w:rFonts w:ascii="Times New Roman" w:eastAsiaTheme="minorEastAsia" w:hAnsi="Times New Roman" w:cs="Times New Roman"/>
          <w:sz w:val="24"/>
          <w:szCs w:val="24"/>
          <w:lang w:val="en-US"/>
        </w:rPr>
        <w:t>=39 variables covering 2004:01-2020:02 (</w:t>
      </w:r>
      <w:proofErr w:type="gramStart"/>
      <w:r>
        <w:rPr>
          <w:rFonts w:ascii="Times New Roman" w:eastAsiaTheme="minorEastAsia" w:hAnsi="Times New Roman" w:cs="Times New Roman"/>
          <w:sz w:val="24"/>
          <w:szCs w:val="24"/>
          <w:lang w:val="en-US"/>
        </w:rPr>
        <w:t>i.e.</w:t>
      </w:r>
      <w:proofErr w:type="gramEnd"/>
      <w:r>
        <w:rPr>
          <w:rFonts w:ascii="Times New Roman" w:eastAsiaTheme="minorEastAsia" w:hAnsi="Times New Roman" w:cs="Times New Roman"/>
          <w:sz w:val="24"/>
          <w:szCs w:val="24"/>
          <w:lang w:val="en-US"/>
        </w:rPr>
        <w:t xml:space="preserve"> up to COVID-19 pandemic) are utilized. The set</w:t>
      </w:r>
      <w:r w:rsidR="00360435">
        <w:rPr>
          <w:rFonts w:ascii="Times New Roman" w:eastAsiaTheme="minorEastAsia" w:hAnsi="Times New Roman" w:cs="Times New Roman"/>
          <w:sz w:val="24"/>
          <w:szCs w:val="24"/>
          <w:lang w:val="en-US"/>
        </w:rPr>
        <w:t xml:space="preserve"> includes</w:t>
      </w:r>
      <w:r>
        <w:rPr>
          <w:rFonts w:ascii="Times New Roman" w:eastAsiaTheme="minorEastAsia" w:hAnsi="Times New Roman" w:cs="Times New Roman"/>
          <w:sz w:val="24"/>
          <w:szCs w:val="24"/>
          <w:lang w:val="en-US"/>
        </w:rPr>
        <w:t xml:space="preserve"> indicators</w:t>
      </w:r>
      <w:r w:rsidR="00360435">
        <w:rPr>
          <w:rFonts w:ascii="Times New Roman" w:eastAsiaTheme="minorEastAsia" w:hAnsi="Times New Roman" w:cs="Times New Roman"/>
          <w:sz w:val="24"/>
          <w:szCs w:val="24"/>
          <w:lang w:val="en-US"/>
        </w:rPr>
        <w:t xml:space="preserve"> of real activity</w:t>
      </w:r>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e.g.</w:t>
      </w:r>
      <w:proofErr w:type="gramEnd"/>
      <w:r>
        <w:rPr>
          <w:rFonts w:ascii="Times New Roman" w:eastAsiaTheme="minorEastAsia" w:hAnsi="Times New Roman" w:cs="Times New Roman"/>
          <w:sz w:val="24"/>
          <w:szCs w:val="24"/>
          <w:lang w:val="en-US"/>
        </w:rPr>
        <w:t xml:space="preserve"> GDP, industrial production, </w:t>
      </w:r>
      <w:r>
        <w:rPr>
          <w:rFonts w:ascii="Times New Roman" w:eastAsiaTheme="minorEastAsia" w:hAnsi="Times New Roman" w:cs="Times New Roman"/>
          <w:sz w:val="24"/>
          <w:szCs w:val="24"/>
          <w:lang w:val="en-US"/>
        </w:rPr>
        <w:lastRenderedPageBreak/>
        <w:t xml:space="preserve">freight turnover), </w:t>
      </w:r>
      <w:r w:rsidR="00360435">
        <w:rPr>
          <w:rFonts w:ascii="Times New Roman" w:eastAsiaTheme="minorEastAsia" w:hAnsi="Times New Roman" w:cs="Times New Roman"/>
          <w:sz w:val="24"/>
          <w:szCs w:val="24"/>
          <w:lang w:val="en-US"/>
        </w:rPr>
        <w:t>personal income, employment, retail markets, credit and monetary aggregates, exchange rate, external trade, CPI and producer prices, interest rates and financial market indices. All variables are properly differenced to ensure stationarity and normalized to zero mean and unit standard error. Designating</w:t>
      </w:r>
      <w:r w:rsidR="00360435" w:rsidRPr="00360435">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b/>
                <w:bCs/>
                <w:i/>
                <w:sz w:val="24"/>
                <w:szCs w:val="24"/>
              </w:rPr>
            </m:ctrlPr>
          </m:sSubPr>
          <m:e>
            <m:r>
              <m:rPr>
                <m:sty m:val="b"/>
              </m:rPr>
              <w:rPr>
                <w:rFonts w:ascii="Cambria Math" w:eastAsiaTheme="minorEastAsia" w:hAnsi="Cambria Math" w:cs="Times New Roman"/>
                <w:sz w:val="24"/>
                <w:szCs w:val="24"/>
              </w:rPr>
              <m:t>Y</m:t>
            </m:r>
          </m:e>
          <m:sub>
            <m:r>
              <m:rPr>
                <m:sty m:val="bi"/>
              </m:rPr>
              <w:rPr>
                <w:rFonts w:ascii="Cambria Math" w:eastAsiaTheme="minorEastAsia" w:hAnsi="Cambria Math" w:cs="Times New Roman"/>
                <w:sz w:val="24"/>
                <w:szCs w:val="24"/>
              </w:rPr>
              <m:t>t</m:t>
            </m:r>
          </m:sub>
        </m:sSub>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sup>
                </m:sSubSup>
              </m:e>
            </m:d>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rPr>
              <m:t>N</m:t>
            </m:r>
          </m:sup>
        </m:sSubSup>
      </m:oMath>
      <w:r w:rsidR="00360435" w:rsidRPr="00360435">
        <w:rPr>
          <w:rFonts w:ascii="Times New Roman" w:eastAsiaTheme="minorEastAsia" w:hAnsi="Times New Roman" w:cs="Times New Roman"/>
          <w:sz w:val="24"/>
          <w:szCs w:val="24"/>
          <w:lang w:val="en-US"/>
        </w:rPr>
        <w:t xml:space="preserve">, </w:t>
      </w:r>
      <w:r w:rsidR="00360435">
        <w:rPr>
          <w:rFonts w:ascii="Times New Roman" w:eastAsiaTheme="minorEastAsia" w:hAnsi="Times New Roman" w:cs="Times New Roman"/>
          <w:sz w:val="24"/>
          <w:szCs w:val="24"/>
          <w:lang w:val="en-US"/>
        </w:rPr>
        <w:t>factor-augmented forecasting model may be written as</w:t>
      </w:r>
    </w:p>
    <w:p w14:paraId="7E1A1942" w14:textId="385C072A" w:rsidR="00171702" w:rsidRPr="00360435" w:rsidRDefault="00171702" w:rsidP="00A137D5">
      <w:pPr>
        <w:spacing w:after="0" w:line="360" w:lineRule="auto"/>
        <w:jc w:val="both"/>
        <w:rPr>
          <w:rFonts w:ascii="Times New Roman" w:eastAsiaTheme="minorEastAsia" w:hAnsi="Times New Roman" w:cs="Times New Roman"/>
          <w:sz w:val="24"/>
          <w:szCs w:val="24"/>
          <w:lang w:val="en-US"/>
        </w:rPr>
      </w:pPr>
    </w:p>
    <w:p w14:paraId="4C54FBAE" w14:textId="14EF0805" w:rsidR="00FE5222" w:rsidRPr="00FE5222" w:rsidRDefault="007741CF" w:rsidP="00A137D5">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m:rPr>
                <m:sty m:val="b"/>
              </m:rP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p>
          <m:sSupPr>
            <m:ctrlPr>
              <w:rPr>
                <w:rFonts w:ascii="Cambria Math" w:eastAsiaTheme="minorEastAsia" w:hAnsi="Cambria Math" w:cs="Times New Roman"/>
                <w:b/>
                <w:bCs/>
                <w:iCs/>
                <w:sz w:val="24"/>
                <w:szCs w:val="24"/>
              </w:rPr>
            </m:ctrlPr>
          </m:sSupPr>
          <m:e>
            <m:r>
              <m:rPr>
                <m:sty m:val="b"/>
              </m:rPr>
              <w:rPr>
                <w:rFonts w:ascii="Cambria Math" w:eastAsiaTheme="minorEastAsia" w:hAnsi="Cambria Math" w:cs="Times New Roman"/>
                <w:sz w:val="24"/>
                <w:szCs w:val="24"/>
              </w:rPr>
              <m:t>Λ</m:t>
            </m:r>
          </m:e>
          <m:sup>
            <m:r>
              <m:rPr>
                <m:sty m:val="b"/>
              </m:rPr>
              <w:rPr>
                <w:rFonts w:ascii="Cambria Math" w:eastAsiaTheme="minorEastAsia" w:hAnsi="Cambria Math" w:cs="Times New Roman"/>
                <w:sz w:val="24"/>
                <w:szCs w:val="24"/>
              </w:rPr>
              <m:t>F</m:t>
            </m:r>
          </m:sup>
        </m:sSup>
        <m:sSub>
          <m:sSubPr>
            <m:ctrlPr>
              <w:rPr>
                <w:rFonts w:ascii="Cambria Math" w:eastAsiaTheme="minorEastAsia" w:hAnsi="Cambria Math" w:cs="Times New Roman"/>
                <w:b/>
                <w:bCs/>
                <w:iCs/>
                <w:sz w:val="24"/>
                <w:szCs w:val="24"/>
              </w:rPr>
            </m:ctrlPr>
          </m:sSub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b/>
                <w:bCs/>
                <w:iCs/>
                <w:sz w:val="24"/>
                <w:szCs w:val="24"/>
              </w:rPr>
            </m:ctrlPr>
          </m:sSubPr>
          <m:e>
            <m:r>
              <m:rPr>
                <m:sty m:val="b"/>
              </m:rPr>
              <w:rPr>
                <w:rFonts w:ascii="Cambria Math" w:eastAsiaTheme="minorEastAsia" w:hAnsi="Cambria Math" w:cs="Times New Roman"/>
                <w:sz w:val="24"/>
                <w:szCs w:val="24"/>
              </w:rPr>
              <m:t>u</m:t>
            </m:r>
          </m:e>
          <m:sub>
            <m:r>
              <m:rPr>
                <m:sty m:val="b"/>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b/>
                <w:bCs/>
                <w:iCs/>
                <w:sz w:val="24"/>
                <w:szCs w:val="24"/>
              </w:rPr>
            </m:ctrlPr>
          </m:sSubSupPr>
          <m:e>
            <m:r>
              <m:rPr>
                <m:sty m:val="b"/>
              </m:rPr>
              <w:rPr>
                <w:rFonts w:ascii="Cambria Math" w:eastAsiaTheme="minorEastAsia" w:hAnsi="Cambria Math" w:cs="Times New Roman"/>
                <w:sz w:val="24"/>
                <w:szCs w:val="24"/>
              </w:rPr>
              <m:t>Y</m:t>
            </m:r>
          </m:e>
          <m:sub>
            <m:r>
              <m:rPr>
                <m:sty m:val="b"/>
              </m:rPr>
              <w:rPr>
                <w:rFonts w:ascii="Cambria Math" w:eastAsiaTheme="minorEastAsia" w:hAnsi="Cambria Math" w:cs="Times New Roman"/>
                <w:sz w:val="24"/>
                <w:szCs w:val="24"/>
              </w:rPr>
              <m:t>t</m:t>
            </m:r>
          </m:sub>
          <m:sup>
            <m:r>
              <m:rPr>
                <m:sty m:val="b"/>
              </m:rPr>
              <w:rPr>
                <w:rFonts w:ascii="Cambria Math" w:eastAsiaTheme="minorEastAsia" w:hAnsi="Cambria Math" w:cs="Times New Roman"/>
                <w:sz w:val="24"/>
                <w:szCs w:val="24"/>
              </w:rPr>
              <m:t>2</m:t>
            </m:r>
          </m:sup>
        </m:sSub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b/>
                <w:bCs/>
                <w:iCs/>
                <w:sz w:val="24"/>
                <w:szCs w:val="24"/>
              </w:rPr>
            </m:ctrlPr>
          </m:sSupPr>
          <m:e>
            <m:r>
              <m:rPr>
                <m:sty m:val="b"/>
              </m:rPr>
              <w:rPr>
                <w:rFonts w:ascii="Cambria Math" w:eastAsiaTheme="minorEastAsia" w:hAnsi="Cambria Math" w:cs="Times New Roman"/>
                <w:sz w:val="24"/>
                <w:szCs w:val="24"/>
              </w:rPr>
              <m:t>Λ</m:t>
            </m:r>
          </m:e>
          <m:sup>
            <m:r>
              <m:rPr>
                <m:sty m:val="b"/>
              </m:rPr>
              <w:rPr>
                <w:rFonts w:ascii="Cambria Math" w:eastAsiaTheme="minorEastAsia" w:hAnsi="Cambria Math" w:cs="Times New Roman"/>
                <w:sz w:val="24"/>
                <w:szCs w:val="24"/>
              </w:rPr>
              <m:t>W</m:t>
            </m:r>
          </m:sup>
        </m:sSup>
        <m:sSub>
          <m:sSubPr>
            <m:ctrlPr>
              <w:rPr>
                <w:rFonts w:ascii="Cambria Math" w:eastAsiaTheme="minorEastAsia" w:hAnsi="Cambria Math" w:cs="Times New Roman"/>
                <w:b/>
                <w:bCs/>
                <w:iCs/>
                <w:sz w:val="24"/>
                <w:szCs w:val="24"/>
              </w:rPr>
            </m:ctrlPr>
          </m:sSubPr>
          <m:e>
            <m:r>
              <m:rPr>
                <m:sty m:val="b"/>
              </m:rPr>
              <w:rPr>
                <w:rFonts w:ascii="Cambria Math" w:eastAsiaTheme="minorEastAsia" w:hAnsi="Cambria Math" w:cs="Times New Roman"/>
                <w:sz w:val="24"/>
                <w:szCs w:val="24"/>
              </w:rPr>
              <m:t>W</m:t>
            </m:r>
          </m:e>
          <m:sub>
            <m:r>
              <m:rPr>
                <m:sty m:val="b"/>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b"/>
              </m:rPr>
              <w:rPr>
                <w:rFonts w:ascii="Cambria Math" w:eastAsiaTheme="minorEastAsia" w:hAnsi="Cambria Math" w:cs="Times New Roman"/>
                <w:sz w:val="24"/>
                <w:szCs w:val="24"/>
              </w:rPr>
              <m:t>v</m:t>
            </m:r>
          </m:e>
          <m:sub>
            <m:r>
              <m:rPr>
                <m:sty m:val="p"/>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007A01CA">
        <w:rPr>
          <w:rFonts w:ascii="Times New Roman" w:eastAsiaTheme="minorEastAsia" w:hAnsi="Times New Roman" w:cs="Times New Roman"/>
          <w:sz w:val="24"/>
          <w:szCs w:val="24"/>
        </w:rPr>
        <w:t xml:space="preserve">                                                                                  (2)</w:t>
      </w:r>
    </w:p>
    <w:p w14:paraId="188A3ED5" w14:textId="3BB0E071" w:rsidR="00474699" w:rsidRPr="005D71F9" w:rsidRDefault="007741CF" w:rsidP="007A01CA">
      <w:pPr>
        <w:spacing w:after="0" w:line="360" w:lineRule="auto"/>
        <w:jc w:val="both"/>
        <w:rPr>
          <w:rFonts w:ascii="Times New Roman" w:eastAsiaTheme="minorEastAsia" w:hAnsi="Times New Roman" w:cs="Times New Roman"/>
          <w:iCs/>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t+h</m:t>
            </m:r>
          </m:sub>
          <m:sup>
            <m:r>
              <w:rPr>
                <w:rFonts w:ascii="Cambria Math" w:eastAsiaTheme="minorEastAsia" w:hAnsi="Cambria Math" w:cs="Times New Roman"/>
                <w:sz w:val="24"/>
                <w:szCs w:val="24"/>
              </w:rPr>
              <m:t>(j)</m:t>
            </m:r>
          </m:sup>
        </m:sSubSup>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L</m:t>
            </m:r>
          </m:e>
        </m: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(j)</m:t>
            </m:r>
          </m:sup>
        </m:sSubSup>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L</m:t>
            </m:r>
          </m:e>
        </m:d>
        <m:sSub>
          <m:sSubPr>
            <m:ctrlPr>
              <w:rPr>
                <w:rFonts w:ascii="Cambria Math" w:eastAsiaTheme="minorEastAsia" w:hAnsi="Cambria Math" w:cs="Times New Roman"/>
                <w:b/>
                <w:bCs/>
                <w:iCs/>
                <w:sz w:val="24"/>
                <w:szCs w:val="24"/>
              </w:rPr>
            </m:ctrlPr>
          </m:sSub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L</m:t>
            </m:r>
          </m:e>
        </m:d>
        <m:sSubSup>
          <m:sSubSupPr>
            <m:ctrlPr>
              <w:rPr>
                <w:rFonts w:ascii="Cambria Math" w:eastAsiaTheme="minorEastAsia" w:hAnsi="Cambria Math" w:cs="Times New Roman"/>
                <w:b/>
                <w:bCs/>
                <w:iCs/>
                <w:sz w:val="24"/>
                <w:szCs w:val="24"/>
              </w:rPr>
            </m:ctrlPr>
          </m:sSubSupPr>
          <m:e>
            <m:r>
              <m:rPr>
                <m:sty m:val="b"/>
              </m:rPr>
              <w:rPr>
                <w:rFonts w:ascii="Cambria Math" w:eastAsiaTheme="minorEastAsia" w:hAnsi="Cambria Math" w:cs="Times New Roman"/>
                <w:sz w:val="24"/>
                <w:szCs w:val="24"/>
              </w:rPr>
              <m:t>F</m:t>
            </m:r>
          </m:e>
          <m:sub>
            <m:r>
              <m:rPr>
                <m:sty m:val="b"/>
              </m:rPr>
              <w:rPr>
                <w:rFonts w:ascii="Cambria Math" w:eastAsiaTheme="minorEastAsia" w:hAnsi="Cambria Math" w:cs="Times New Roman"/>
                <w:sz w:val="24"/>
                <w:szCs w:val="24"/>
              </w:rPr>
              <m:t>1,t</m:t>
            </m:r>
          </m:sub>
          <m:sup>
            <m:r>
              <m:rPr>
                <m:sty m:val="b"/>
              </m:rP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+δ</m:t>
        </m:r>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L</m:t>
            </m:r>
          </m:e>
        </m:d>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W</m:t>
            </m:r>
          </m:e>
          <m:sub>
            <m:r>
              <m:rPr>
                <m:sty m:val="bi"/>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+ζ</m:t>
        </m:r>
        <m:d>
          <m:dPr>
            <m:ctrlPr>
              <w:rPr>
                <w:rFonts w:ascii="Cambria Math" w:eastAsiaTheme="minorEastAsia" w:hAnsi="Cambria Math" w:cs="Times New Roman"/>
                <w:i/>
                <w:sz w:val="24"/>
                <w:szCs w:val="24"/>
              </w:rPr>
            </m:ctrlPr>
          </m:dPr>
          <m:e>
            <m:r>
              <m:rPr>
                <m:sty m:val="b"/>
              </m:rPr>
              <w:rPr>
                <w:rFonts w:ascii="Cambria Math" w:eastAsiaTheme="minorEastAsia" w:hAnsi="Cambria Math" w:cs="Times New Roman"/>
                <w:sz w:val="24"/>
                <w:szCs w:val="24"/>
              </w:rPr>
              <m:t>L</m:t>
            </m:r>
          </m:e>
        </m:d>
        <m:sSub>
          <m:sSubPr>
            <m:ctrlPr>
              <w:rPr>
                <w:rFonts w:ascii="Cambria Math" w:eastAsiaTheme="minorEastAsia" w:hAnsi="Cambria Math" w:cs="Times New Roman"/>
                <w:b/>
                <w:bCs/>
                <w:iCs/>
                <w:sz w:val="24"/>
                <w:szCs w:val="24"/>
              </w:rPr>
            </m:ctrlPr>
          </m:sSubPr>
          <m:e>
            <m:r>
              <m:rPr>
                <m:sty m:val="b"/>
              </m:rPr>
              <w:rPr>
                <w:rFonts w:ascii="Cambria Math" w:eastAsiaTheme="minorEastAsia" w:hAnsi="Cambria Math" w:cs="Times New Roman"/>
                <w:sz w:val="24"/>
                <w:szCs w:val="24"/>
              </w:rPr>
              <m:t>G</m:t>
            </m:r>
          </m:e>
          <m:sub>
            <m:r>
              <m:rPr>
                <m:sty m:val="b"/>
              </m:rP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t+h</m:t>
            </m:r>
          </m:sub>
          <m:sup>
            <m:r>
              <w:rPr>
                <w:rFonts w:ascii="Cambria Math" w:eastAsiaTheme="minorEastAsia" w:hAnsi="Cambria Math" w:cs="Times New Roman"/>
                <w:sz w:val="24"/>
                <w:szCs w:val="24"/>
              </w:rPr>
              <m:t>(j)</m:t>
            </m:r>
          </m:sup>
        </m:sSubSup>
      </m:oMath>
      <w:r w:rsidR="005D71F9" w:rsidRPr="005D71F9">
        <w:rPr>
          <w:rFonts w:ascii="Times New Roman" w:eastAsiaTheme="minorEastAsia" w:hAnsi="Times New Roman" w:cs="Times New Roman"/>
          <w:iCs/>
          <w:sz w:val="24"/>
          <w:szCs w:val="24"/>
        </w:rPr>
        <w:t>.</w:t>
      </w:r>
      <w:r w:rsidR="007A01CA">
        <w:rPr>
          <w:rFonts w:ascii="Times New Roman" w:eastAsiaTheme="minorEastAsia" w:hAnsi="Times New Roman" w:cs="Times New Roman"/>
          <w:iCs/>
          <w:sz w:val="24"/>
          <w:szCs w:val="24"/>
        </w:rPr>
        <w:t xml:space="preserve">                                  (3)</w:t>
      </w:r>
    </w:p>
    <w:p w14:paraId="3BE53540" w14:textId="0D57AC5A" w:rsidR="00360435" w:rsidRPr="00360435" w:rsidRDefault="00360435" w:rsidP="00360435">
      <w:pPr>
        <w:spacing w:after="0" w:line="360" w:lineRule="auto"/>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Here</w:t>
      </w:r>
      <w:r w:rsidRPr="00360435">
        <w:rPr>
          <w:rFonts w:ascii="Times New Roman" w:eastAsiaTheme="minorEastAsia" w:hAnsi="Times New Roman" w:cs="Times New Roman"/>
          <w:sz w:val="24"/>
          <w:szCs w:val="24"/>
          <w:lang w:val="en-US"/>
        </w:rPr>
        <w:t>,</w:t>
      </w:r>
      <w:r w:rsidRPr="00360435">
        <w:rPr>
          <w:rFonts w:ascii="Times New Roman" w:eastAsiaTheme="minorEastAsia" w:hAnsi="Times New Roman" w:cs="Times New Roman"/>
          <w:sz w:val="24"/>
          <w:szCs w:val="24"/>
          <w:lang w:val="en-US"/>
        </w:rPr>
        <w:t xml:space="preserve"> </w:t>
      </w:r>
      <w:r w:rsidRPr="002F7F66">
        <w:rPr>
          <w:rFonts w:ascii="Times New Roman" w:eastAsiaTheme="minorEastAsia" w:hAnsi="Times New Roman" w:cs="Times New Roman"/>
          <w:b/>
          <w:bCs/>
          <w:sz w:val="24"/>
          <w:szCs w:val="24"/>
          <w:lang w:val="en-US"/>
        </w:rPr>
        <w:t>F</w:t>
      </w:r>
      <w:r w:rsidRPr="002F7F66">
        <w:rPr>
          <w:rFonts w:ascii="Times New Roman" w:eastAsiaTheme="minorEastAsia" w:hAnsi="Times New Roman" w:cs="Times New Roman"/>
          <w:b/>
          <w:bCs/>
          <w:sz w:val="24"/>
          <w:szCs w:val="24"/>
          <w:vertAlign w:val="subscript"/>
          <w:lang w:val="en-US"/>
        </w:rPr>
        <w:t>t</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and</w:t>
      </w:r>
      <w:r w:rsidRPr="00360435">
        <w:rPr>
          <w:rFonts w:ascii="Times New Roman" w:eastAsiaTheme="minorEastAsia" w:hAnsi="Times New Roman" w:cs="Times New Roman"/>
          <w:sz w:val="24"/>
          <w:szCs w:val="24"/>
          <w:lang w:val="en-US"/>
        </w:rPr>
        <w:t xml:space="preserve"> </w:t>
      </w:r>
      <w:proofErr w:type="spellStart"/>
      <w:r w:rsidRPr="002F7F66">
        <w:rPr>
          <w:rFonts w:ascii="Times New Roman" w:eastAsiaTheme="minorEastAsia" w:hAnsi="Times New Roman" w:cs="Times New Roman"/>
          <w:b/>
          <w:bCs/>
          <w:sz w:val="24"/>
          <w:szCs w:val="24"/>
          <w:lang w:val="en-US"/>
        </w:rPr>
        <w:t>W</w:t>
      </w:r>
      <w:r w:rsidRPr="002F7F66">
        <w:rPr>
          <w:rFonts w:ascii="Times New Roman" w:eastAsiaTheme="minorEastAsia" w:hAnsi="Times New Roman" w:cs="Times New Roman"/>
          <w:b/>
          <w:bCs/>
          <w:sz w:val="24"/>
          <w:szCs w:val="24"/>
          <w:vertAlign w:val="subscript"/>
          <w:lang w:val="en-US"/>
        </w:rPr>
        <w:t>t</w:t>
      </w:r>
      <w:proofErr w:type="spellEnd"/>
      <w:r w:rsidRPr="00360435">
        <w:rPr>
          <w:rFonts w:ascii="Times New Roman" w:eastAsiaTheme="minorEastAsia" w:hAnsi="Times New Roman" w:cs="Times New Roman"/>
          <w:b/>
          <w:bCs/>
          <w:sz w:val="24"/>
          <w:szCs w:val="24"/>
          <w:lang w:val="en-US"/>
        </w:rPr>
        <w:t xml:space="preserve"> </w:t>
      </w:r>
      <w:r>
        <w:rPr>
          <w:rFonts w:ascii="Times New Roman" w:eastAsiaTheme="minorEastAsia" w:hAnsi="Times New Roman" w:cs="Times New Roman"/>
          <w:sz w:val="24"/>
          <w:szCs w:val="24"/>
          <w:lang w:val="en-US"/>
        </w:rPr>
        <w:t>are</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the</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vectors</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common</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factors</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behind</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the</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dynamics</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individual</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variables</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estimated</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by</w:t>
      </w:r>
      <w:r w:rsidRPr="00360435">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principle</w:t>
      </w:r>
      <w:proofErr w:type="gramEnd"/>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component</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analysis</w:t>
      </w:r>
      <w:r w:rsidRPr="00360435">
        <w:rPr>
          <w:rFonts w:ascii="Times New Roman" w:eastAsiaTheme="minorEastAsia" w:hAnsi="Times New Roman" w:cs="Times New Roman"/>
          <w:sz w:val="24"/>
          <w:szCs w:val="24"/>
          <w:lang w:val="en-US"/>
        </w:rPr>
        <w:t>;</w:t>
      </w:r>
      <w:r w:rsidRPr="00360435">
        <w:rPr>
          <w:rFonts w:ascii="Times New Roman" w:eastAsiaTheme="minorEastAsia" w:hAnsi="Times New Roman" w:cs="Times New Roman"/>
          <w:sz w:val="24"/>
          <w:szCs w:val="24"/>
          <w:lang w:val="en-US"/>
        </w:rPr>
        <w:t xml:space="preserve"> </w:t>
      </w:r>
      <w:r w:rsidRPr="002F7F66">
        <w:rPr>
          <w:rFonts w:ascii="Times New Roman" w:eastAsiaTheme="minorEastAsia" w:hAnsi="Times New Roman" w:cs="Times New Roman"/>
          <w:b/>
          <w:bCs/>
          <w:sz w:val="24"/>
          <w:szCs w:val="24"/>
          <w:lang w:val="en-US"/>
        </w:rPr>
        <w:t>G</w:t>
      </w:r>
      <w:r w:rsidRPr="002F7F66">
        <w:rPr>
          <w:rFonts w:ascii="Times New Roman" w:eastAsiaTheme="minorEastAsia" w:hAnsi="Times New Roman" w:cs="Times New Roman"/>
          <w:b/>
          <w:bCs/>
          <w:sz w:val="24"/>
          <w:szCs w:val="24"/>
          <w:vertAlign w:val="subscript"/>
          <w:lang w:val="en-US"/>
        </w:rPr>
        <w:t>t</w:t>
      </w:r>
      <w:r w:rsidRPr="00360435">
        <w:rPr>
          <w:rFonts w:ascii="Times New Roman" w:eastAsiaTheme="minorEastAsia" w:hAnsi="Times New Roman" w:cs="Times New Roman"/>
          <w:b/>
          <w:bCs/>
          <w:sz w:val="24"/>
          <w:szCs w:val="24"/>
          <w:lang w:val="en-US"/>
        </w:rPr>
        <w:t xml:space="preserve"> </w:t>
      </w:r>
      <w:r>
        <w:rPr>
          <w:rFonts w:ascii="Times New Roman" w:eastAsiaTheme="minorEastAsia" w:hAnsi="Times New Roman" w:cs="Times New Roman"/>
          <w:sz w:val="24"/>
          <w:szCs w:val="24"/>
          <w:lang w:val="en-US"/>
        </w:rPr>
        <w:t>is the vector of exogenous variables</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oil prices, external financial conditions, sanctions’ intensity index from</w:t>
      </w:r>
      <w:r w:rsidRPr="00360435">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Omelchenko</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Khrustalev</w:t>
      </w:r>
      <w:proofErr w:type="spellEnd"/>
      <w:r w:rsidRPr="00360435">
        <w:rPr>
          <w:rFonts w:ascii="Times New Roman" w:eastAsiaTheme="minorEastAsia" w:hAnsi="Times New Roman" w:cs="Times New Roman"/>
          <w:sz w:val="24"/>
          <w:szCs w:val="24"/>
          <w:lang w:val="en-US"/>
        </w:rPr>
        <w:t xml:space="preserve">, 2018)). </w:t>
      </w:r>
      <w:r>
        <w:rPr>
          <w:rFonts w:ascii="Times New Roman" w:eastAsiaTheme="minorEastAsia" w:hAnsi="Times New Roman" w:cs="Times New Roman"/>
          <w:sz w:val="24"/>
          <w:szCs w:val="24"/>
          <w:lang w:val="en-US"/>
        </w:rPr>
        <w:t>To</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account</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for</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possible</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persistence of volatility, residuals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+h</m:t>
            </m:r>
          </m:sub>
          <m: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sup>
        </m:sSubSup>
      </m:oMath>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are assumed to follow the process</w:t>
      </w:r>
      <w:r w:rsidRPr="00360435">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+h</m:t>
            </m:r>
          </m:sub>
          <m: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up>
            <m:r>
              <w:rPr>
                <w:rFonts w:ascii="Cambria Math" w:eastAsiaTheme="minorEastAsia" w:hAnsi="Cambria Math" w:cs="Times New Roman"/>
                <w:sz w:val="24"/>
                <w:szCs w:val="24"/>
                <w:lang w:val="en-US"/>
              </w:rPr>
              <m:t>y</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y</m:t>
            </m:r>
          </m:sup>
        </m:sSubSup>
      </m:oMath>
      <w:r w:rsidRPr="00360435">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y</m:t>
            </m:r>
          </m:sup>
        </m:sSubSup>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d</m:t>
        </m:r>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0,1</m:t>
            </m:r>
          </m:e>
        </m:d>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ln</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up>
            <m:r>
              <w:rPr>
                <w:rFonts w:ascii="Cambria Math" w:eastAsiaTheme="minorEastAsia" w:hAnsi="Cambria Math" w:cs="Times New Roman"/>
                <w:sz w:val="24"/>
                <w:szCs w:val="24"/>
                <w:lang w:val="en-US"/>
              </w:rPr>
              <m:t>y</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y</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y</m:t>
            </m:r>
          </m:sup>
        </m:sSubSup>
        <m:r>
          <w:rPr>
            <w:rFonts w:ascii="Cambria Math" w:eastAsiaTheme="minorEastAsia" w:hAnsi="Cambria Math" w:cs="Times New Roman"/>
            <w:sz w:val="24"/>
            <w:szCs w:val="24"/>
          </w:rPr>
          <m:t>ln</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y</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y</m:t>
            </m: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j</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t</m:t>
            </m:r>
          </m:sub>
        </m:sSub>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i</m:t>
        </m:r>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rPr>
          <m:t>d</m:t>
        </m:r>
        <m: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lang w:val="en-US"/>
              </w:rPr>
              <m:t>0,1</m:t>
            </m:r>
          </m:e>
        </m:d>
      </m:oMath>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w:t>
      </w:r>
      <w:r w:rsidRPr="00360435">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addition</w:t>
      </w:r>
      <w:r w:rsidRPr="00360435">
        <w:rPr>
          <w:rFonts w:ascii="Times New Roman" w:eastAsiaTheme="minorEastAsia" w:hAnsi="Times New Roman" w:cs="Times New Roman"/>
          <w:sz w:val="24"/>
          <w:szCs w:val="24"/>
          <w:lang w:val="en-US"/>
        </w:rPr>
        <w:t xml:space="preserve">, </w:t>
      </w:r>
      <w:r w:rsidRPr="00360435">
        <w:rPr>
          <w:rFonts w:ascii="Times New Roman" w:eastAsiaTheme="minorEastAsia" w:hAnsi="Times New Roman" w:cs="Times New Roman"/>
          <w:sz w:val="24"/>
          <w:szCs w:val="24"/>
          <w:lang w:val="en-US"/>
        </w:rPr>
        <w:t xml:space="preserve"> </w:t>
      </w:r>
      <w:r w:rsidRPr="002F7F66">
        <w:rPr>
          <w:rFonts w:ascii="Times New Roman" w:eastAsiaTheme="minorEastAsia" w:hAnsi="Times New Roman" w:cs="Times New Roman"/>
          <w:b/>
          <w:bCs/>
          <w:sz w:val="24"/>
          <w:szCs w:val="24"/>
          <w:lang w:val="en-US"/>
        </w:rPr>
        <w:t>F</w:t>
      </w:r>
      <w:r w:rsidRPr="002F7F66">
        <w:rPr>
          <w:rFonts w:ascii="Times New Roman" w:eastAsiaTheme="minorEastAsia" w:hAnsi="Times New Roman" w:cs="Times New Roman"/>
          <w:b/>
          <w:bCs/>
          <w:sz w:val="24"/>
          <w:szCs w:val="24"/>
          <w:vertAlign w:val="subscript"/>
          <w:lang w:val="en-US"/>
        </w:rPr>
        <w:t>t</w:t>
      </w:r>
      <w:proofErr w:type="gramEnd"/>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and</w:t>
      </w:r>
      <w:r w:rsidRPr="00360435">
        <w:rPr>
          <w:rFonts w:ascii="Times New Roman" w:eastAsiaTheme="minorEastAsia" w:hAnsi="Times New Roman" w:cs="Times New Roman"/>
          <w:sz w:val="24"/>
          <w:szCs w:val="24"/>
          <w:lang w:val="en-US"/>
        </w:rPr>
        <w:t xml:space="preserve"> </w:t>
      </w:r>
      <w:proofErr w:type="spellStart"/>
      <w:r w:rsidRPr="002F7F66">
        <w:rPr>
          <w:rFonts w:ascii="Times New Roman" w:eastAsiaTheme="minorEastAsia" w:hAnsi="Times New Roman" w:cs="Times New Roman"/>
          <w:b/>
          <w:bCs/>
          <w:sz w:val="24"/>
          <w:szCs w:val="24"/>
          <w:lang w:val="en-US"/>
        </w:rPr>
        <w:t>W</w:t>
      </w:r>
      <w:r w:rsidRPr="002F7F66">
        <w:rPr>
          <w:rFonts w:ascii="Times New Roman" w:eastAsiaTheme="minorEastAsia" w:hAnsi="Times New Roman" w:cs="Times New Roman"/>
          <w:b/>
          <w:bCs/>
          <w:sz w:val="24"/>
          <w:szCs w:val="24"/>
          <w:vertAlign w:val="subscript"/>
          <w:lang w:val="en-US"/>
        </w:rPr>
        <w:t>t</w:t>
      </w:r>
      <w:proofErr w:type="spellEnd"/>
      <w:r w:rsidRPr="00360435">
        <w:rPr>
          <w:rFonts w:ascii="Times New Roman" w:eastAsiaTheme="minorEastAsia" w:hAnsi="Times New Roman" w:cs="Times New Roman"/>
          <w:b/>
          <w:bCs/>
          <w:sz w:val="24"/>
          <w:szCs w:val="24"/>
          <w:lang w:val="en-US"/>
        </w:rPr>
        <w:t xml:space="preserve"> </w:t>
      </w:r>
      <w:r>
        <w:rPr>
          <w:rFonts w:ascii="Times New Roman" w:eastAsiaTheme="minorEastAsia" w:hAnsi="Times New Roman" w:cs="Times New Roman"/>
          <w:sz w:val="24"/>
          <w:szCs w:val="24"/>
          <w:lang w:val="en-US"/>
        </w:rPr>
        <w:t>are assumed to</w:t>
      </w:r>
      <w:r w:rsidR="00DA2E48">
        <w:rPr>
          <w:rFonts w:ascii="Times New Roman" w:eastAsiaTheme="minorEastAsia" w:hAnsi="Times New Roman" w:cs="Times New Roman"/>
          <w:sz w:val="24"/>
          <w:szCs w:val="24"/>
          <w:lang w:val="en-US"/>
        </w:rPr>
        <w:t xml:space="preserve"> also</w:t>
      </w:r>
      <w:r>
        <w:rPr>
          <w:rFonts w:ascii="Times New Roman" w:eastAsiaTheme="minorEastAsia" w:hAnsi="Times New Roman" w:cs="Times New Roman"/>
          <w:sz w:val="24"/>
          <w:szCs w:val="24"/>
          <w:lang w:val="en-US"/>
        </w:rPr>
        <w:t xml:space="preserve"> follow autoregressive processes with the similar structure of residuals</w:t>
      </w:r>
      <w:r w:rsidRPr="00360435">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Weights</w:t>
      </w:r>
      <w:r w:rsidRPr="00DA2E48">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j</m:t>
            </m:r>
          </m:sub>
        </m:sSub>
      </m:oMath>
      <w:r w:rsidRPr="00DA2E48">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w:t>
      </w:r>
      <w:r w:rsidRPr="00DA2E48">
        <w:rPr>
          <w:rFonts w:ascii="Times New Roman" w:eastAsiaTheme="minorEastAsia" w:hAnsi="Times New Roman" w:cs="Times New Roman"/>
          <w:sz w:val="24"/>
          <w:szCs w:val="24"/>
          <w:lang w:val="en-US"/>
        </w:rPr>
        <w:t xml:space="preserve"> (1) </w:t>
      </w:r>
      <w:r>
        <w:rPr>
          <w:rFonts w:ascii="Times New Roman" w:eastAsiaTheme="minorEastAsia" w:hAnsi="Times New Roman" w:cs="Times New Roman"/>
          <w:sz w:val="24"/>
          <w:szCs w:val="24"/>
          <w:lang w:val="en-US"/>
        </w:rPr>
        <w:t>are taken to be equal.</w:t>
      </w:r>
    </w:p>
    <w:p w14:paraId="30F7E590" w14:textId="08A6BDEC" w:rsidR="004B3765" w:rsidRDefault="004B3765"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Estimation results for </w:t>
      </w:r>
      <w:r w:rsidRPr="004B3765">
        <w:rPr>
          <w:rFonts w:ascii="Times New Roman" w:hAnsi="Times New Roman" w:cs="Times New Roman"/>
          <w:i/>
          <w:iCs/>
          <w:sz w:val="24"/>
          <w:szCs w:val="24"/>
          <w:lang w:val="en-US"/>
        </w:rPr>
        <w:t>h</w:t>
      </w:r>
      <w:r>
        <w:rPr>
          <w:rFonts w:ascii="Times New Roman" w:hAnsi="Times New Roman" w:cs="Times New Roman"/>
          <w:sz w:val="24"/>
          <w:szCs w:val="24"/>
          <w:lang w:val="en-US"/>
        </w:rPr>
        <w:t xml:space="preserve">=1, 3, 12 months (u1, u3, u12) are reported in Figure 1 together with </w:t>
      </w:r>
      <w:proofErr w:type="gramStart"/>
      <w:r>
        <w:rPr>
          <w:rFonts w:ascii="Times New Roman" w:hAnsi="Times New Roman" w:cs="Times New Roman"/>
          <w:sz w:val="24"/>
          <w:szCs w:val="24"/>
          <w:lang w:val="en-US"/>
        </w:rPr>
        <w:t>RVI</w:t>
      </w:r>
      <w:r w:rsidR="0010411D">
        <w:rPr>
          <w:rFonts w:ascii="Times New Roman" w:hAnsi="Times New Roman" w:cs="Times New Roman"/>
          <w:sz w:val="24"/>
          <w:szCs w:val="24"/>
          <w:lang w:val="en-US"/>
        </w:rPr>
        <w:t>,  a</w:t>
      </w:r>
      <w:proofErr w:type="gramEnd"/>
      <w:r w:rsidR="0010411D">
        <w:rPr>
          <w:rFonts w:ascii="Times New Roman" w:hAnsi="Times New Roman" w:cs="Times New Roman"/>
          <w:sz w:val="24"/>
          <w:szCs w:val="24"/>
          <w:lang w:val="en-US"/>
        </w:rPr>
        <w:t xml:space="preserve"> Russian equivalent of VIX calculated by the Moscow Exchange. Spikes corresponding to the acute phase of the 2008-2009 crisis and the sharp fall of oil prices in late 2014 are clearly visible. Table 1 reports the persistence of constructed indicators, as compared to alternative indicators</w:t>
      </w:r>
      <w:r w:rsidR="0010411D">
        <w:rPr>
          <w:rStyle w:val="ab"/>
          <w:rFonts w:ascii="Times New Roman" w:hAnsi="Times New Roman" w:cs="Times New Roman"/>
          <w:sz w:val="24"/>
          <w:szCs w:val="24"/>
          <w:lang w:val="en-US"/>
        </w:rPr>
        <w:footnoteReference w:id="2"/>
      </w:r>
      <w:r w:rsidR="0010411D">
        <w:rPr>
          <w:rFonts w:ascii="Times New Roman" w:hAnsi="Times New Roman" w:cs="Times New Roman"/>
          <w:sz w:val="24"/>
          <w:szCs w:val="24"/>
          <w:lang w:val="en-US"/>
        </w:rPr>
        <w:t>:</w:t>
      </w:r>
    </w:p>
    <w:p w14:paraId="5E9FED2D" w14:textId="58EAB4C0" w:rsidR="0010411D" w:rsidRDefault="0010411D"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Russia’s economic policy uncertainty </w:t>
      </w:r>
      <w:r w:rsidRPr="0010411D">
        <w:rPr>
          <w:rFonts w:ascii="Times New Roman" w:hAnsi="Times New Roman" w:cs="Times New Roman"/>
          <w:sz w:val="24"/>
          <w:szCs w:val="24"/>
          <w:lang w:val="en-US"/>
        </w:rPr>
        <w:t>(PU; Baker et al., 2016);</w:t>
      </w:r>
    </w:p>
    <w:p w14:paraId="3F25138D" w14:textId="17DCA6BB" w:rsidR="0010411D" w:rsidRDefault="0010411D"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Russia-related geopolitical risk index </w:t>
      </w:r>
      <w:r w:rsidRPr="0010411D">
        <w:rPr>
          <w:rFonts w:ascii="Times New Roman" w:hAnsi="Times New Roman" w:cs="Times New Roman"/>
          <w:sz w:val="24"/>
          <w:szCs w:val="24"/>
          <w:lang w:val="en-US"/>
        </w:rPr>
        <w:t xml:space="preserve">(GPR; Caldara, </w:t>
      </w:r>
      <w:proofErr w:type="spellStart"/>
      <w:r w:rsidRPr="0010411D">
        <w:rPr>
          <w:rFonts w:ascii="Times New Roman" w:hAnsi="Times New Roman" w:cs="Times New Roman"/>
          <w:sz w:val="24"/>
          <w:szCs w:val="24"/>
          <w:lang w:val="en-US"/>
        </w:rPr>
        <w:t>Iacovello</w:t>
      </w:r>
      <w:proofErr w:type="spellEnd"/>
      <w:r w:rsidRPr="0010411D">
        <w:rPr>
          <w:rFonts w:ascii="Times New Roman" w:hAnsi="Times New Roman" w:cs="Times New Roman"/>
          <w:sz w:val="24"/>
          <w:szCs w:val="24"/>
          <w:lang w:val="en-US"/>
        </w:rPr>
        <w:t>, 2021);</w:t>
      </w:r>
    </w:p>
    <w:p w14:paraId="06F505D7" w14:textId="2A8A516B" w:rsidR="0010411D" w:rsidRDefault="0010411D"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index of uncertainty of Western sanctions imposed on Russia (</w:t>
      </w:r>
      <w:r w:rsidR="00221B71">
        <w:rPr>
          <w:rFonts w:ascii="Times New Roman" w:hAnsi="Times New Roman" w:cs="Times New Roman"/>
          <w:sz w:val="24"/>
          <w:szCs w:val="24"/>
          <w:lang w:val="en-US"/>
        </w:rPr>
        <w:t xml:space="preserve">SU; calculated based on the frequency of such restrictions being mentioned in </w:t>
      </w:r>
      <w:r w:rsidR="00221B71" w:rsidRPr="00221B71">
        <w:rPr>
          <w:rFonts w:ascii="Times New Roman" w:hAnsi="Times New Roman" w:cs="Times New Roman"/>
          <w:i/>
          <w:iCs/>
          <w:sz w:val="24"/>
          <w:szCs w:val="24"/>
          <w:lang w:val="en-US"/>
        </w:rPr>
        <w:t>Vedomosti</w:t>
      </w:r>
      <w:r w:rsidR="00221B71">
        <w:rPr>
          <w:rFonts w:ascii="Times New Roman" w:hAnsi="Times New Roman" w:cs="Times New Roman"/>
          <w:sz w:val="24"/>
          <w:szCs w:val="24"/>
          <w:lang w:val="en-US"/>
        </w:rPr>
        <w:t xml:space="preserve"> and </w:t>
      </w:r>
      <w:proofErr w:type="spellStart"/>
      <w:r w:rsidR="00221B71" w:rsidRPr="00221B71">
        <w:rPr>
          <w:rFonts w:ascii="Times New Roman" w:hAnsi="Times New Roman" w:cs="Times New Roman"/>
          <w:i/>
          <w:iCs/>
          <w:sz w:val="24"/>
          <w:szCs w:val="24"/>
          <w:lang w:val="en-US"/>
        </w:rPr>
        <w:t>Kommersant</w:t>
      </w:r>
      <w:proofErr w:type="spellEnd"/>
      <w:r w:rsidR="00221B71">
        <w:rPr>
          <w:rFonts w:ascii="Times New Roman" w:hAnsi="Times New Roman" w:cs="Times New Roman"/>
          <w:sz w:val="24"/>
          <w:szCs w:val="24"/>
          <w:lang w:val="en-US"/>
        </w:rPr>
        <w:t xml:space="preserve"> newspapers, starting in January 2014);</w:t>
      </w:r>
    </w:p>
    <w:p w14:paraId="2EA59714" w14:textId="08C71B37" w:rsidR="00221B71" w:rsidRPr="0010411D" w:rsidRDefault="00221B71"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index of expected 30-day oil price volatility provided by </w:t>
      </w:r>
      <w:r w:rsidRPr="00221B71">
        <w:rPr>
          <w:rFonts w:ascii="Times New Roman" w:hAnsi="Times New Roman" w:cs="Times New Roman"/>
          <w:sz w:val="24"/>
          <w:szCs w:val="24"/>
          <w:lang w:val="en-US"/>
        </w:rPr>
        <w:t>Chicago Board Options Exchange</w:t>
      </w:r>
      <w:r>
        <w:rPr>
          <w:rFonts w:ascii="Times New Roman" w:hAnsi="Times New Roman" w:cs="Times New Roman"/>
          <w:sz w:val="24"/>
          <w:szCs w:val="24"/>
          <w:lang w:val="en-US"/>
        </w:rPr>
        <w:t xml:space="preserve"> (OILV).</w:t>
      </w:r>
    </w:p>
    <w:p w14:paraId="14EE63C0" w14:textId="09A7B39C" w:rsidR="00221B71" w:rsidRPr="00221B71" w:rsidRDefault="00221B71"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Furthermore, coefficients of pairwise correlation with estimated indicators and next-month GDP dynamics are presented. Estimated indicators </w:t>
      </w:r>
      <w:r w:rsidRPr="00221B71">
        <w:rPr>
          <w:rFonts w:ascii="Times New Roman" w:hAnsi="Times New Roman" w:cs="Times New Roman"/>
          <w:i/>
          <w:iCs/>
          <w:sz w:val="24"/>
          <w:szCs w:val="24"/>
          <w:lang w:val="en-US"/>
        </w:rPr>
        <w:t>u</w:t>
      </w:r>
      <w:r>
        <w:rPr>
          <w:rFonts w:ascii="Times New Roman" w:hAnsi="Times New Roman" w:cs="Times New Roman"/>
          <w:sz w:val="24"/>
          <w:szCs w:val="24"/>
          <w:lang w:val="en-US"/>
        </w:rPr>
        <w:t xml:space="preserve"> are highly persistent and clearly countercyclical.  Correlations with alternative indicators are positive and significant, except PU.</w:t>
      </w:r>
    </w:p>
    <w:p w14:paraId="3082385F" w14:textId="77777777" w:rsidR="00BF4DBA" w:rsidRPr="00221B71" w:rsidRDefault="00BF4DBA" w:rsidP="00A137D5">
      <w:pPr>
        <w:spacing w:after="0" w:line="360" w:lineRule="auto"/>
        <w:jc w:val="both"/>
        <w:rPr>
          <w:rFonts w:ascii="Times New Roman" w:hAnsi="Times New Roman" w:cs="Times New Roman"/>
          <w:sz w:val="24"/>
          <w:szCs w:val="24"/>
          <w:lang w:val="en-US"/>
        </w:rPr>
      </w:pPr>
    </w:p>
    <w:p w14:paraId="02CA9E93" w14:textId="735EBC09" w:rsidR="00A31D32" w:rsidRPr="00221B71" w:rsidRDefault="00221B71" w:rsidP="00A137D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w:t>
      </w:r>
      <w:r w:rsidR="00A31D32" w:rsidRPr="00221B71">
        <w:rPr>
          <w:rFonts w:ascii="Times New Roman" w:hAnsi="Times New Roman" w:cs="Times New Roman"/>
          <w:sz w:val="24"/>
          <w:szCs w:val="24"/>
          <w:lang w:val="en-US"/>
        </w:rPr>
        <w:t xml:space="preserve"> 1. </w:t>
      </w:r>
      <w:r>
        <w:rPr>
          <w:rFonts w:ascii="Times New Roman" w:hAnsi="Times New Roman" w:cs="Times New Roman"/>
          <w:sz w:val="24"/>
          <w:szCs w:val="24"/>
          <w:lang w:val="en-US"/>
        </w:rPr>
        <w:t>Comparison of uncertainty indicators</w:t>
      </w:r>
    </w:p>
    <w:tbl>
      <w:tblPr>
        <w:tblStyle w:val="a8"/>
        <w:tblW w:w="0" w:type="auto"/>
        <w:tblCellMar>
          <w:left w:w="28" w:type="dxa"/>
          <w:right w:w="28" w:type="dxa"/>
        </w:tblCellMar>
        <w:tblLook w:val="04A0" w:firstRow="1" w:lastRow="0" w:firstColumn="1" w:lastColumn="0" w:noHBand="0" w:noVBand="1"/>
      </w:tblPr>
      <w:tblGrid>
        <w:gridCol w:w="1555"/>
        <w:gridCol w:w="973"/>
        <w:gridCol w:w="974"/>
        <w:gridCol w:w="974"/>
        <w:gridCol w:w="974"/>
        <w:gridCol w:w="973"/>
        <w:gridCol w:w="974"/>
        <w:gridCol w:w="974"/>
        <w:gridCol w:w="974"/>
      </w:tblGrid>
      <w:tr w:rsidR="00E70CAC" w14:paraId="31E3A887" w14:textId="3B4C7554" w:rsidTr="00805841">
        <w:tc>
          <w:tcPr>
            <w:tcW w:w="1555" w:type="dxa"/>
          </w:tcPr>
          <w:p w14:paraId="67B35358" w14:textId="77777777" w:rsidR="00E70CAC" w:rsidRPr="00221B71" w:rsidRDefault="00E70CAC" w:rsidP="00E70CAC">
            <w:pPr>
              <w:jc w:val="both"/>
              <w:rPr>
                <w:rFonts w:ascii="Times New Roman" w:hAnsi="Times New Roman" w:cs="Times New Roman"/>
                <w:sz w:val="24"/>
                <w:szCs w:val="24"/>
                <w:lang w:val="en-US"/>
              </w:rPr>
            </w:pPr>
          </w:p>
        </w:tc>
        <w:tc>
          <w:tcPr>
            <w:tcW w:w="973" w:type="dxa"/>
          </w:tcPr>
          <w:p w14:paraId="6591341A" w14:textId="3461C509"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u1</w:t>
            </w:r>
          </w:p>
        </w:tc>
        <w:tc>
          <w:tcPr>
            <w:tcW w:w="974" w:type="dxa"/>
          </w:tcPr>
          <w:p w14:paraId="1B0F3829" w14:textId="013BE66B"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u3</w:t>
            </w:r>
          </w:p>
        </w:tc>
        <w:tc>
          <w:tcPr>
            <w:tcW w:w="974" w:type="dxa"/>
          </w:tcPr>
          <w:p w14:paraId="42E7B0F5" w14:textId="1B34F31C"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u12</w:t>
            </w:r>
          </w:p>
        </w:tc>
        <w:tc>
          <w:tcPr>
            <w:tcW w:w="974" w:type="dxa"/>
          </w:tcPr>
          <w:p w14:paraId="0E88C12F" w14:textId="1A649EC2"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RVI</w:t>
            </w:r>
          </w:p>
        </w:tc>
        <w:tc>
          <w:tcPr>
            <w:tcW w:w="973" w:type="dxa"/>
          </w:tcPr>
          <w:p w14:paraId="2F67E597" w14:textId="0C48F4CC"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PU</w:t>
            </w:r>
          </w:p>
        </w:tc>
        <w:tc>
          <w:tcPr>
            <w:tcW w:w="974" w:type="dxa"/>
          </w:tcPr>
          <w:p w14:paraId="3FDFB091" w14:textId="2C5A2F48"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GPR</w:t>
            </w:r>
          </w:p>
        </w:tc>
        <w:tc>
          <w:tcPr>
            <w:tcW w:w="974" w:type="dxa"/>
          </w:tcPr>
          <w:p w14:paraId="038574EF" w14:textId="69B19205"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SU</w:t>
            </w:r>
          </w:p>
        </w:tc>
        <w:tc>
          <w:tcPr>
            <w:tcW w:w="974" w:type="dxa"/>
          </w:tcPr>
          <w:p w14:paraId="7F3DF8C5" w14:textId="73FA4CC6"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OILV</w:t>
            </w:r>
          </w:p>
        </w:tc>
      </w:tr>
      <w:tr w:rsidR="00E70CAC" w14:paraId="128DD570" w14:textId="077D94EE" w:rsidTr="00805841">
        <w:tc>
          <w:tcPr>
            <w:tcW w:w="1555" w:type="dxa"/>
          </w:tcPr>
          <w:p w14:paraId="05C50343" w14:textId="45EDEE85" w:rsidR="00E70CAC" w:rsidRPr="00E70CAC" w:rsidRDefault="00E70CAC" w:rsidP="00E70CAC">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1)</w:t>
            </w:r>
            <w:r w:rsidR="00221B71">
              <w:rPr>
                <w:rFonts w:ascii="Times New Roman" w:hAnsi="Times New Roman" w:cs="Times New Roman"/>
                <w:sz w:val="24"/>
                <w:szCs w:val="24"/>
                <w:lang w:val="en-US"/>
              </w:rPr>
              <w:t xml:space="preserve"> coefficient</w:t>
            </w:r>
          </w:p>
        </w:tc>
        <w:tc>
          <w:tcPr>
            <w:tcW w:w="973" w:type="dxa"/>
          </w:tcPr>
          <w:p w14:paraId="721AC800" w14:textId="33228494" w:rsidR="00E70CAC" w:rsidRPr="00ED67C7" w:rsidRDefault="00ED67C7"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0,94</w:t>
            </w:r>
          </w:p>
        </w:tc>
        <w:tc>
          <w:tcPr>
            <w:tcW w:w="974" w:type="dxa"/>
          </w:tcPr>
          <w:p w14:paraId="00F8168F" w14:textId="5B12A54B" w:rsidR="00E70CAC" w:rsidRPr="00ED67C7" w:rsidRDefault="00ED67C7"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0,91</w:t>
            </w:r>
          </w:p>
        </w:tc>
        <w:tc>
          <w:tcPr>
            <w:tcW w:w="974" w:type="dxa"/>
          </w:tcPr>
          <w:p w14:paraId="3C61F066" w14:textId="006A5718" w:rsidR="00E70CAC" w:rsidRPr="00ED67C7" w:rsidRDefault="00ED67C7"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0,81</w:t>
            </w:r>
          </w:p>
        </w:tc>
        <w:tc>
          <w:tcPr>
            <w:tcW w:w="974" w:type="dxa"/>
          </w:tcPr>
          <w:p w14:paraId="08779DB7" w14:textId="4E1B0012" w:rsidR="00E70CAC" w:rsidRPr="00ED67C7" w:rsidRDefault="00ED67C7"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0,79</w:t>
            </w:r>
          </w:p>
        </w:tc>
        <w:tc>
          <w:tcPr>
            <w:tcW w:w="973" w:type="dxa"/>
          </w:tcPr>
          <w:p w14:paraId="6FEA36BE" w14:textId="4436D79B" w:rsidR="00E70CAC" w:rsidRPr="00ED67C7" w:rsidRDefault="00ED67C7"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974" w:type="dxa"/>
          </w:tcPr>
          <w:p w14:paraId="0742F8E2" w14:textId="422C6CF5" w:rsidR="00E70CAC" w:rsidRPr="00E27880" w:rsidRDefault="00E27880"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0,41</w:t>
            </w:r>
          </w:p>
        </w:tc>
        <w:tc>
          <w:tcPr>
            <w:tcW w:w="974" w:type="dxa"/>
          </w:tcPr>
          <w:p w14:paraId="2F52B245" w14:textId="6BB919D8" w:rsidR="00E70CAC" w:rsidRPr="00E27880" w:rsidRDefault="00E27880"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0,69</w:t>
            </w:r>
          </w:p>
        </w:tc>
        <w:tc>
          <w:tcPr>
            <w:tcW w:w="974" w:type="dxa"/>
          </w:tcPr>
          <w:p w14:paraId="77C72F92" w14:textId="7536CC73" w:rsidR="00E70CAC" w:rsidRPr="00E27880" w:rsidRDefault="00E27880"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0,85</w:t>
            </w:r>
          </w:p>
        </w:tc>
      </w:tr>
      <w:tr w:rsidR="00E70CAC" w14:paraId="5AA86B0D" w14:textId="2F78EE53" w:rsidTr="00805841">
        <w:tc>
          <w:tcPr>
            <w:tcW w:w="1555" w:type="dxa"/>
          </w:tcPr>
          <w:p w14:paraId="6641F164" w14:textId="65B05E35" w:rsidR="00E70CAC" w:rsidRPr="00E70CAC" w:rsidRDefault="00E70CAC" w:rsidP="00E70CAC">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corr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u1)</w:t>
            </w:r>
          </w:p>
        </w:tc>
        <w:tc>
          <w:tcPr>
            <w:tcW w:w="973" w:type="dxa"/>
          </w:tcPr>
          <w:p w14:paraId="0AD68304" w14:textId="6C166579"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74" w:type="dxa"/>
          </w:tcPr>
          <w:p w14:paraId="5A6DE16B" w14:textId="026A4324"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0,98</w:t>
            </w:r>
          </w:p>
        </w:tc>
        <w:tc>
          <w:tcPr>
            <w:tcW w:w="974" w:type="dxa"/>
          </w:tcPr>
          <w:p w14:paraId="69B3DF69" w14:textId="76FA0D40"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0,89</w:t>
            </w:r>
          </w:p>
        </w:tc>
        <w:tc>
          <w:tcPr>
            <w:tcW w:w="974" w:type="dxa"/>
          </w:tcPr>
          <w:p w14:paraId="626CE354" w14:textId="72412B66"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0,87</w:t>
            </w:r>
          </w:p>
        </w:tc>
        <w:tc>
          <w:tcPr>
            <w:tcW w:w="973" w:type="dxa"/>
          </w:tcPr>
          <w:p w14:paraId="0659F42C" w14:textId="58295531"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974" w:type="dxa"/>
          </w:tcPr>
          <w:p w14:paraId="43F8E99E" w14:textId="5BAA1A28"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0,29</w:t>
            </w:r>
          </w:p>
        </w:tc>
        <w:tc>
          <w:tcPr>
            <w:tcW w:w="974" w:type="dxa"/>
          </w:tcPr>
          <w:p w14:paraId="3F271DA0" w14:textId="18CF8645"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974" w:type="dxa"/>
          </w:tcPr>
          <w:p w14:paraId="4D5BAA69" w14:textId="0AB3E91E"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r>
      <w:tr w:rsidR="00E70CAC" w14:paraId="68731B35" w14:textId="50A56A31" w:rsidTr="00805841">
        <w:tc>
          <w:tcPr>
            <w:tcW w:w="1555" w:type="dxa"/>
          </w:tcPr>
          <w:p w14:paraId="0A1FA918" w14:textId="138EE5E6" w:rsidR="00E70CAC" w:rsidRPr="00E70CAC" w:rsidRDefault="00E70CAC" w:rsidP="00E70CAC">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corr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u3)</w:t>
            </w:r>
          </w:p>
        </w:tc>
        <w:tc>
          <w:tcPr>
            <w:tcW w:w="973" w:type="dxa"/>
          </w:tcPr>
          <w:p w14:paraId="7BA6A940" w14:textId="77777777" w:rsidR="00E70CAC" w:rsidRDefault="00E70CAC" w:rsidP="00E70CAC">
            <w:pPr>
              <w:jc w:val="center"/>
              <w:rPr>
                <w:rFonts w:ascii="Times New Roman" w:hAnsi="Times New Roman" w:cs="Times New Roman"/>
                <w:sz w:val="24"/>
                <w:szCs w:val="24"/>
              </w:rPr>
            </w:pPr>
          </w:p>
        </w:tc>
        <w:tc>
          <w:tcPr>
            <w:tcW w:w="974" w:type="dxa"/>
          </w:tcPr>
          <w:p w14:paraId="3F8BB8A6" w14:textId="323FB74A"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74" w:type="dxa"/>
          </w:tcPr>
          <w:p w14:paraId="62415729" w14:textId="1878B112"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0,96</w:t>
            </w:r>
          </w:p>
        </w:tc>
        <w:tc>
          <w:tcPr>
            <w:tcW w:w="974" w:type="dxa"/>
          </w:tcPr>
          <w:p w14:paraId="43B7EA8B" w14:textId="02807655"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0,90</w:t>
            </w:r>
          </w:p>
        </w:tc>
        <w:tc>
          <w:tcPr>
            <w:tcW w:w="973" w:type="dxa"/>
          </w:tcPr>
          <w:p w14:paraId="01ADBEBA" w14:textId="42754E04"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0,06</w:t>
            </w:r>
          </w:p>
        </w:tc>
        <w:tc>
          <w:tcPr>
            <w:tcW w:w="974" w:type="dxa"/>
          </w:tcPr>
          <w:p w14:paraId="017A8C16" w14:textId="181FCA87"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0,31</w:t>
            </w:r>
          </w:p>
        </w:tc>
        <w:tc>
          <w:tcPr>
            <w:tcW w:w="974" w:type="dxa"/>
          </w:tcPr>
          <w:p w14:paraId="555CE968" w14:textId="7B5FCF02"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c>
          <w:tcPr>
            <w:tcW w:w="974" w:type="dxa"/>
          </w:tcPr>
          <w:p w14:paraId="74E7B0CA" w14:textId="704E5F39"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0,48</w:t>
            </w:r>
          </w:p>
        </w:tc>
      </w:tr>
      <w:tr w:rsidR="00805841" w14:paraId="25FEE379" w14:textId="77777777" w:rsidTr="00805841">
        <w:tc>
          <w:tcPr>
            <w:tcW w:w="1555" w:type="dxa"/>
          </w:tcPr>
          <w:p w14:paraId="279D40AB" w14:textId="60B26E4A" w:rsidR="00E70CAC" w:rsidRPr="00E70CAC" w:rsidRDefault="00E70CAC" w:rsidP="00E70CAC">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corr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u12)</w:t>
            </w:r>
          </w:p>
        </w:tc>
        <w:tc>
          <w:tcPr>
            <w:tcW w:w="973" w:type="dxa"/>
          </w:tcPr>
          <w:p w14:paraId="56C6AAAC" w14:textId="77777777" w:rsidR="00E70CAC" w:rsidRDefault="00E70CAC" w:rsidP="00E70CAC">
            <w:pPr>
              <w:jc w:val="center"/>
              <w:rPr>
                <w:rFonts w:ascii="Times New Roman" w:hAnsi="Times New Roman" w:cs="Times New Roman"/>
                <w:sz w:val="24"/>
                <w:szCs w:val="24"/>
              </w:rPr>
            </w:pPr>
          </w:p>
        </w:tc>
        <w:tc>
          <w:tcPr>
            <w:tcW w:w="974" w:type="dxa"/>
          </w:tcPr>
          <w:p w14:paraId="1E8E7E6D" w14:textId="77777777" w:rsidR="00E70CAC" w:rsidRDefault="00E70CAC" w:rsidP="00E70CAC">
            <w:pPr>
              <w:jc w:val="center"/>
              <w:rPr>
                <w:rFonts w:ascii="Times New Roman" w:hAnsi="Times New Roman" w:cs="Times New Roman"/>
                <w:sz w:val="24"/>
                <w:szCs w:val="24"/>
              </w:rPr>
            </w:pPr>
          </w:p>
        </w:tc>
        <w:tc>
          <w:tcPr>
            <w:tcW w:w="974" w:type="dxa"/>
          </w:tcPr>
          <w:p w14:paraId="5B94CB53" w14:textId="51674DC0" w:rsidR="00E70CAC" w:rsidRPr="00E70CAC" w:rsidRDefault="00E70CA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74" w:type="dxa"/>
          </w:tcPr>
          <w:p w14:paraId="7649240A" w14:textId="0242F997"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0,88</w:t>
            </w:r>
          </w:p>
        </w:tc>
        <w:tc>
          <w:tcPr>
            <w:tcW w:w="973" w:type="dxa"/>
          </w:tcPr>
          <w:p w14:paraId="6EF87B42" w14:textId="16622E2C"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0,11</w:t>
            </w:r>
          </w:p>
        </w:tc>
        <w:tc>
          <w:tcPr>
            <w:tcW w:w="974" w:type="dxa"/>
          </w:tcPr>
          <w:p w14:paraId="4D9D74E8" w14:textId="0139A92C"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0,31</w:t>
            </w:r>
          </w:p>
        </w:tc>
        <w:tc>
          <w:tcPr>
            <w:tcW w:w="974" w:type="dxa"/>
          </w:tcPr>
          <w:p w14:paraId="2C9AD1B5" w14:textId="4C7FD16D"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0,38</w:t>
            </w:r>
          </w:p>
        </w:tc>
        <w:tc>
          <w:tcPr>
            <w:tcW w:w="974" w:type="dxa"/>
          </w:tcPr>
          <w:p w14:paraId="4A6BD609" w14:textId="07A2976D" w:rsidR="00E70CAC" w:rsidRPr="000D305C" w:rsidRDefault="000D305C" w:rsidP="00E70CAC">
            <w:pPr>
              <w:jc w:val="center"/>
              <w:rPr>
                <w:rFonts w:ascii="Times New Roman" w:hAnsi="Times New Roman" w:cs="Times New Roman"/>
                <w:sz w:val="24"/>
                <w:szCs w:val="24"/>
                <w:lang w:val="en-US"/>
              </w:rPr>
            </w:pPr>
            <w:r>
              <w:rPr>
                <w:rFonts w:ascii="Times New Roman" w:hAnsi="Times New Roman" w:cs="Times New Roman"/>
                <w:sz w:val="24"/>
                <w:szCs w:val="24"/>
                <w:lang w:val="en-US"/>
              </w:rPr>
              <w:t>0,49</w:t>
            </w:r>
          </w:p>
        </w:tc>
      </w:tr>
      <w:tr w:rsidR="00805841" w14:paraId="096932E4" w14:textId="77777777" w:rsidTr="00805841">
        <w:tc>
          <w:tcPr>
            <w:tcW w:w="1555" w:type="dxa"/>
          </w:tcPr>
          <w:p w14:paraId="6C06A94F" w14:textId="3F2CB2AB" w:rsidR="00E70CAC" w:rsidRPr="00E70CAC" w:rsidRDefault="00E70CAC" w:rsidP="00E70CAC">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corr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GDP</w:t>
            </w:r>
            <w:r w:rsidR="00805841" w:rsidRPr="00805841">
              <w:rPr>
                <w:rFonts w:ascii="Times New Roman" w:hAnsi="Times New Roman" w:cs="Times New Roman"/>
                <w:sz w:val="24"/>
                <w:szCs w:val="24"/>
                <w:vertAlign w:val="subscript"/>
              </w:rPr>
              <w:t>+1</w:t>
            </w:r>
            <w:r>
              <w:rPr>
                <w:rFonts w:ascii="Times New Roman" w:hAnsi="Times New Roman" w:cs="Times New Roman"/>
                <w:sz w:val="24"/>
                <w:szCs w:val="24"/>
                <w:lang w:val="en-US"/>
              </w:rPr>
              <w:t>)</w:t>
            </w:r>
          </w:p>
        </w:tc>
        <w:tc>
          <w:tcPr>
            <w:tcW w:w="973" w:type="dxa"/>
          </w:tcPr>
          <w:p w14:paraId="569A1ADB" w14:textId="397EDBE3" w:rsidR="00E70CAC" w:rsidRPr="00805841" w:rsidRDefault="00E70CAC"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sidR="00805841">
              <w:rPr>
                <w:rFonts w:ascii="Times New Roman" w:hAnsi="Times New Roman" w:cs="Times New Roman"/>
                <w:sz w:val="24"/>
                <w:szCs w:val="24"/>
              </w:rPr>
              <w:t>33</w:t>
            </w:r>
          </w:p>
        </w:tc>
        <w:tc>
          <w:tcPr>
            <w:tcW w:w="974" w:type="dxa"/>
          </w:tcPr>
          <w:p w14:paraId="710537C5" w14:textId="21A61CB5" w:rsidR="00E70CAC" w:rsidRPr="00805841" w:rsidRDefault="000D305C"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sidR="00805841">
              <w:rPr>
                <w:rFonts w:ascii="Times New Roman" w:hAnsi="Times New Roman" w:cs="Times New Roman"/>
                <w:sz w:val="24"/>
                <w:szCs w:val="24"/>
              </w:rPr>
              <w:t>27</w:t>
            </w:r>
          </w:p>
        </w:tc>
        <w:tc>
          <w:tcPr>
            <w:tcW w:w="974" w:type="dxa"/>
          </w:tcPr>
          <w:p w14:paraId="70397634" w14:textId="77875C36" w:rsidR="00E70CAC" w:rsidRPr="00805841" w:rsidRDefault="000D305C"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sidR="00805841">
              <w:rPr>
                <w:rFonts w:ascii="Times New Roman" w:hAnsi="Times New Roman" w:cs="Times New Roman"/>
                <w:sz w:val="24"/>
                <w:szCs w:val="24"/>
              </w:rPr>
              <w:t>17</w:t>
            </w:r>
          </w:p>
        </w:tc>
        <w:tc>
          <w:tcPr>
            <w:tcW w:w="974" w:type="dxa"/>
          </w:tcPr>
          <w:p w14:paraId="6778899F" w14:textId="39BFFE3E" w:rsidR="00E70CAC" w:rsidRPr="00805841" w:rsidRDefault="00805841"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25</w:t>
            </w:r>
          </w:p>
        </w:tc>
        <w:tc>
          <w:tcPr>
            <w:tcW w:w="973" w:type="dxa"/>
          </w:tcPr>
          <w:p w14:paraId="164485C9" w14:textId="0DC635D1" w:rsidR="00E70CAC" w:rsidRPr="00805841" w:rsidRDefault="00805841"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27</w:t>
            </w:r>
          </w:p>
        </w:tc>
        <w:tc>
          <w:tcPr>
            <w:tcW w:w="974" w:type="dxa"/>
          </w:tcPr>
          <w:p w14:paraId="5DCD2E82" w14:textId="6E2DDFC6" w:rsidR="00E70CAC" w:rsidRPr="00805841" w:rsidRDefault="00805841"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07</w:t>
            </w:r>
          </w:p>
        </w:tc>
        <w:tc>
          <w:tcPr>
            <w:tcW w:w="974" w:type="dxa"/>
          </w:tcPr>
          <w:p w14:paraId="237E1DCD" w14:textId="22AF930E" w:rsidR="00E70CAC" w:rsidRDefault="00805841" w:rsidP="00E70CAC">
            <w:pPr>
              <w:jc w:val="center"/>
              <w:rPr>
                <w:rFonts w:ascii="Times New Roman" w:hAnsi="Times New Roman" w:cs="Times New Roman"/>
                <w:sz w:val="24"/>
                <w:szCs w:val="24"/>
              </w:rPr>
            </w:pPr>
            <w:r>
              <w:rPr>
                <w:rFonts w:ascii="Times New Roman" w:hAnsi="Times New Roman" w:cs="Times New Roman"/>
                <w:sz w:val="24"/>
                <w:szCs w:val="24"/>
              </w:rPr>
              <w:t>0,18</w:t>
            </w:r>
          </w:p>
        </w:tc>
        <w:tc>
          <w:tcPr>
            <w:tcW w:w="974" w:type="dxa"/>
          </w:tcPr>
          <w:p w14:paraId="3849FC84" w14:textId="360C8E01" w:rsidR="00E70CAC" w:rsidRPr="00805841" w:rsidRDefault="00805841" w:rsidP="00E70CAC">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51</w:t>
            </w:r>
          </w:p>
        </w:tc>
      </w:tr>
    </w:tbl>
    <w:p w14:paraId="0C9A5377" w14:textId="77777777" w:rsidR="00A31D32" w:rsidRPr="00A31D32" w:rsidRDefault="00A31D32" w:rsidP="00A137D5">
      <w:pPr>
        <w:spacing w:after="0" w:line="360" w:lineRule="auto"/>
        <w:jc w:val="both"/>
        <w:rPr>
          <w:rFonts w:ascii="Times New Roman" w:hAnsi="Times New Roman" w:cs="Times New Roman"/>
          <w:sz w:val="24"/>
          <w:szCs w:val="24"/>
        </w:rPr>
      </w:pPr>
    </w:p>
    <w:p w14:paraId="687566E5" w14:textId="77777777" w:rsidR="007A01CA" w:rsidRPr="007A01CA" w:rsidRDefault="007A01CA" w:rsidP="00A137D5">
      <w:pPr>
        <w:spacing w:after="0" w:line="360" w:lineRule="auto"/>
        <w:jc w:val="both"/>
        <w:rPr>
          <w:rFonts w:ascii="Times New Roman" w:hAnsi="Times New Roman" w:cs="Times New Roman"/>
          <w:sz w:val="24"/>
          <w:szCs w:val="24"/>
        </w:rPr>
      </w:pPr>
    </w:p>
    <w:p w14:paraId="021F7542" w14:textId="615A6E37" w:rsidR="00DD1388" w:rsidRDefault="00475FCD" w:rsidP="00DD138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83F143" wp14:editId="6414874A">
            <wp:extent cx="5904158" cy="3711575"/>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895" cy="3717696"/>
                    </a:xfrm>
                    <a:prstGeom prst="rect">
                      <a:avLst/>
                    </a:prstGeom>
                    <a:noFill/>
                  </pic:spPr>
                </pic:pic>
              </a:graphicData>
            </a:graphic>
          </wp:inline>
        </w:drawing>
      </w:r>
    </w:p>
    <w:p w14:paraId="65C0BE55" w14:textId="67A3E638" w:rsidR="007A01CA" w:rsidRPr="00221B71" w:rsidRDefault="00221B71" w:rsidP="00BF4DB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7A01CA">
        <w:rPr>
          <w:rFonts w:ascii="Times New Roman" w:hAnsi="Times New Roman" w:cs="Times New Roman"/>
          <w:sz w:val="24"/>
          <w:szCs w:val="24"/>
        </w:rPr>
        <w:t xml:space="preserve"> </w:t>
      </w:r>
      <w:r w:rsidR="007A01CA" w:rsidRPr="00221B71">
        <w:rPr>
          <w:rFonts w:ascii="Times New Roman" w:hAnsi="Times New Roman" w:cs="Times New Roman"/>
          <w:sz w:val="24"/>
          <w:szCs w:val="24"/>
          <w:lang w:val="en-US"/>
        </w:rPr>
        <w:t xml:space="preserve">1. </w:t>
      </w:r>
      <w:r>
        <w:rPr>
          <w:rFonts w:ascii="Times New Roman" w:hAnsi="Times New Roman" w:cs="Times New Roman"/>
          <w:sz w:val="24"/>
          <w:szCs w:val="24"/>
          <w:lang w:val="en-US"/>
        </w:rPr>
        <w:t>Uncertainty</w:t>
      </w:r>
      <w:r w:rsidRPr="00221B71">
        <w:rPr>
          <w:rFonts w:ascii="Times New Roman" w:hAnsi="Times New Roman" w:cs="Times New Roman"/>
          <w:sz w:val="24"/>
          <w:szCs w:val="24"/>
          <w:lang w:val="en-US"/>
        </w:rPr>
        <w:t xml:space="preserve"> </w:t>
      </w:r>
      <w:r>
        <w:rPr>
          <w:rFonts w:ascii="Times New Roman" w:hAnsi="Times New Roman" w:cs="Times New Roman"/>
          <w:sz w:val="24"/>
          <w:szCs w:val="24"/>
          <w:lang w:val="en-US"/>
        </w:rPr>
        <w:t>dynamics</w:t>
      </w:r>
      <w:r w:rsidR="007A01CA" w:rsidRPr="00221B71">
        <w:rPr>
          <w:rFonts w:ascii="Times New Roman" w:hAnsi="Times New Roman" w:cs="Times New Roman"/>
          <w:sz w:val="24"/>
          <w:szCs w:val="24"/>
          <w:lang w:val="en-US"/>
        </w:rPr>
        <w:t xml:space="preserve"> (</w:t>
      </w:r>
      <w:r>
        <w:rPr>
          <w:rFonts w:ascii="Times New Roman" w:hAnsi="Times New Roman" w:cs="Times New Roman"/>
          <w:sz w:val="24"/>
          <w:szCs w:val="24"/>
          <w:lang w:val="en-US"/>
        </w:rPr>
        <w:t>sources</w:t>
      </w:r>
      <w:r w:rsidR="007A01CA" w:rsidRPr="00221B71">
        <w:rPr>
          <w:rFonts w:ascii="Times New Roman" w:hAnsi="Times New Roman" w:cs="Times New Roman"/>
          <w:sz w:val="24"/>
          <w:szCs w:val="24"/>
          <w:lang w:val="en-US"/>
        </w:rPr>
        <w:t xml:space="preserve">: </w:t>
      </w:r>
      <w:r>
        <w:rPr>
          <w:rFonts w:ascii="Times New Roman" w:hAnsi="Times New Roman" w:cs="Times New Roman"/>
          <w:sz w:val="24"/>
          <w:szCs w:val="24"/>
          <w:lang w:val="en-US"/>
        </w:rPr>
        <w:t>Moscow Exchange; author’s calculations</w:t>
      </w:r>
      <w:r w:rsidR="007A01CA" w:rsidRPr="00221B71">
        <w:rPr>
          <w:rFonts w:ascii="Times New Roman" w:hAnsi="Times New Roman" w:cs="Times New Roman"/>
          <w:sz w:val="24"/>
          <w:szCs w:val="24"/>
          <w:lang w:val="en-US"/>
        </w:rPr>
        <w:t>).</w:t>
      </w:r>
    </w:p>
    <w:p w14:paraId="5393BE4B" w14:textId="77777777" w:rsidR="008719CA" w:rsidRPr="00221B71" w:rsidRDefault="008719CA" w:rsidP="00BF4DBA">
      <w:pPr>
        <w:spacing w:after="0" w:line="360" w:lineRule="auto"/>
        <w:jc w:val="center"/>
        <w:rPr>
          <w:rFonts w:ascii="Times New Roman" w:hAnsi="Times New Roman" w:cs="Times New Roman"/>
          <w:sz w:val="24"/>
          <w:szCs w:val="24"/>
          <w:lang w:val="en-US"/>
        </w:rPr>
      </w:pPr>
    </w:p>
    <w:p w14:paraId="78713547" w14:textId="5C91D26F" w:rsidR="00475FCD" w:rsidRPr="004D79F8" w:rsidRDefault="005D078C" w:rsidP="00DD1388">
      <w:pPr>
        <w:spacing w:after="0" w:line="360" w:lineRule="auto"/>
        <w:jc w:val="both"/>
        <w:rPr>
          <w:rFonts w:ascii="Times New Roman" w:hAnsi="Times New Roman" w:cs="Times New Roman"/>
          <w:sz w:val="24"/>
          <w:szCs w:val="24"/>
          <w:lang w:val="en-US"/>
        </w:rPr>
      </w:pPr>
      <w:r w:rsidRPr="00221B71">
        <w:rPr>
          <w:rFonts w:ascii="Times New Roman" w:hAnsi="Times New Roman" w:cs="Times New Roman"/>
          <w:sz w:val="24"/>
          <w:szCs w:val="24"/>
          <w:lang w:val="en-US"/>
        </w:rPr>
        <w:tab/>
      </w:r>
      <w:r w:rsidR="00475FCD">
        <w:rPr>
          <w:rFonts w:ascii="Times New Roman" w:hAnsi="Times New Roman" w:cs="Times New Roman"/>
          <w:sz w:val="24"/>
          <w:szCs w:val="24"/>
          <w:lang w:val="en-US"/>
        </w:rPr>
        <w:t xml:space="preserve">To assess the impact of uncertainty on other macroeconomic variables, </w:t>
      </w:r>
      <w:r w:rsidR="004D79F8">
        <w:rPr>
          <w:rFonts w:ascii="Times New Roman" w:hAnsi="Times New Roman" w:cs="Times New Roman"/>
          <w:sz w:val="24"/>
          <w:szCs w:val="24"/>
          <w:lang w:val="en-US"/>
        </w:rPr>
        <w:t xml:space="preserve">stationary VAR model was estimated on monthly data, with GDP, inflation and short-term government bond yield as endogenous variables and oil prices and VIX as exogenous ones. When constructing impulse responses, uncertainty indicators were ordered last in the Cholesky decomposition. Examples of responses to uncertainty shocks (equal to one standard deviation of identified shocks </w:t>
      </w:r>
      <w:proofErr w:type="spellStart"/>
      <w:r w:rsidR="004D79F8">
        <w:rPr>
          <w:rFonts w:ascii="Times New Roman" w:hAnsi="Times New Roman" w:cs="Times New Roman"/>
          <w:sz w:val="24"/>
          <w:szCs w:val="24"/>
          <w:lang w:val="en-US"/>
        </w:rPr>
        <w:t>for d</w:t>
      </w:r>
      <w:proofErr w:type="spellEnd"/>
      <w:r w:rsidR="004D79F8">
        <w:rPr>
          <w:rFonts w:ascii="Times New Roman" w:hAnsi="Times New Roman" w:cs="Times New Roman"/>
          <w:sz w:val="24"/>
          <w:szCs w:val="24"/>
          <w:lang w:val="en-US"/>
        </w:rPr>
        <w:t>(u3)) are reported in Figure 2. Significant</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impacts</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on</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inflation</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and</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yield</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are</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visible</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along</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with a significant impact on GDP starting six months after the shock.  Note</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that</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shocks</w:t>
      </w:r>
      <w:r w:rsidR="004D79F8" w:rsidRPr="004D79F8">
        <w:rPr>
          <w:rFonts w:ascii="Times New Roman" w:hAnsi="Times New Roman" w:cs="Times New Roman"/>
          <w:sz w:val="24"/>
          <w:szCs w:val="24"/>
          <w:lang w:val="en-US"/>
        </w:rPr>
        <w:t xml:space="preserve"> </w:t>
      </w:r>
      <w:r w:rsidR="006C7F73">
        <w:rPr>
          <w:rFonts w:ascii="Times New Roman" w:hAnsi="Times New Roman" w:cs="Times New Roman"/>
          <w:sz w:val="24"/>
          <w:szCs w:val="24"/>
          <w:lang w:val="en-US"/>
        </w:rPr>
        <w:t>of</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alternative</w:t>
      </w:r>
      <w:r w:rsidR="004D79F8" w:rsidRPr="004D79F8">
        <w:rPr>
          <w:rFonts w:ascii="Times New Roman" w:hAnsi="Times New Roman" w:cs="Times New Roman"/>
          <w:sz w:val="24"/>
          <w:szCs w:val="24"/>
          <w:lang w:val="en-US"/>
        </w:rPr>
        <w:t xml:space="preserve"> </w:t>
      </w:r>
      <w:r w:rsidR="004D79F8">
        <w:rPr>
          <w:rFonts w:ascii="Times New Roman" w:hAnsi="Times New Roman" w:cs="Times New Roman"/>
          <w:sz w:val="24"/>
          <w:szCs w:val="24"/>
          <w:lang w:val="en-US"/>
        </w:rPr>
        <w:t>uncertainty measures do not result in significant responses.</w:t>
      </w:r>
    </w:p>
    <w:p w14:paraId="0684745D" w14:textId="0FE5380C" w:rsidR="000E4613" w:rsidRPr="000E4613" w:rsidRDefault="000E4613" w:rsidP="00724836">
      <w:pPr>
        <w:spacing w:after="0" w:line="36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conclude, estimating uncertainty based on forecast errors of factor-augmented </w:t>
      </w:r>
      <w:proofErr w:type="gramStart"/>
      <w:r>
        <w:rPr>
          <w:rFonts w:ascii="Times New Roman" w:hAnsi="Times New Roman" w:cs="Times New Roman"/>
          <w:sz w:val="24"/>
          <w:szCs w:val="24"/>
          <w:lang w:val="en-US"/>
        </w:rPr>
        <w:t>models  could</w:t>
      </w:r>
      <w:proofErr w:type="gramEnd"/>
      <w:r>
        <w:rPr>
          <w:rFonts w:ascii="Times New Roman" w:hAnsi="Times New Roman" w:cs="Times New Roman"/>
          <w:sz w:val="24"/>
          <w:szCs w:val="24"/>
          <w:lang w:val="en-US"/>
        </w:rPr>
        <w:t xml:space="preserve"> be promising; in particular, analysis of instruments for reducing uncertainty could be valuable for enhancing efficiency of countercyclical policies.</w:t>
      </w:r>
    </w:p>
    <w:p w14:paraId="30BBE095" w14:textId="47012426" w:rsidR="00503995" w:rsidRDefault="005E62C3" w:rsidP="00DD138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32B2DD1" wp14:editId="12BD51AB">
            <wp:extent cx="2940954" cy="1762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981" cy="1771129"/>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12A2A175" wp14:editId="70D56E9B">
            <wp:extent cx="2940685" cy="17619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080" cy="1772387"/>
                    </a:xfrm>
                    <a:prstGeom prst="rect">
                      <a:avLst/>
                    </a:prstGeom>
                    <a:noFill/>
                  </pic:spPr>
                </pic:pic>
              </a:graphicData>
            </a:graphic>
          </wp:inline>
        </w:drawing>
      </w:r>
    </w:p>
    <w:p w14:paraId="11D498C1" w14:textId="07C6A367" w:rsidR="005E62C3" w:rsidRDefault="005E62C3" w:rsidP="005E62C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D6E170" wp14:editId="3395756D">
            <wp:extent cx="2943225" cy="176569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9042" cy="1775179"/>
                    </a:xfrm>
                    <a:prstGeom prst="rect">
                      <a:avLst/>
                    </a:prstGeom>
                    <a:noFill/>
                  </pic:spPr>
                </pic:pic>
              </a:graphicData>
            </a:graphic>
          </wp:inline>
        </w:drawing>
      </w:r>
    </w:p>
    <w:p w14:paraId="6A7760DC" w14:textId="03F31CE6" w:rsidR="005E62C3" w:rsidRPr="0043071F" w:rsidRDefault="000E4613" w:rsidP="005E62C3">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5E62C3">
        <w:rPr>
          <w:rFonts w:ascii="Times New Roman" w:hAnsi="Times New Roman" w:cs="Times New Roman"/>
          <w:sz w:val="24"/>
          <w:szCs w:val="24"/>
        </w:rPr>
        <w:t xml:space="preserve"> 2. </w:t>
      </w:r>
      <w:r w:rsidR="00A60BFF">
        <w:rPr>
          <w:rFonts w:ascii="Times New Roman" w:hAnsi="Times New Roman" w:cs="Times New Roman"/>
          <w:sz w:val="24"/>
          <w:szCs w:val="24"/>
          <w:lang w:val="en-US"/>
        </w:rPr>
        <w:t>Accumulated</w:t>
      </w:r>
      <w:r w:rsidR="00A60BFF" w:rsidRPr="0043071F">
        <w:rPr>
          <w:rFonts w:ascii="Times New Roman" w:hAnsi="Times New Roman" w:cs="Times New Roman"/>
          <w:sz w:val="24"/>
          <w:szCs w:val="24"/>
          <w:lang w:val="en-US"/>
        </w:rPr>
        <w:t xml:space="preserve"> </w:t>
      </w:r>
      <w:r w:rsidR="00A60BFF">
        <w:rPr>
          <w:rFonts w:ascii="Times New Roman" w:hAnsi="Times New Roman" w:cs="Times New Roman"/>
          <w:sz w:val="24"/>
          <w:szCs w:val="24"/>
          <w:lang w:val="en-US"/>
        </w:rPr>
        <w:t>responses</w:t>
      </w:r>
      <w:r w:rsidR="00A60BFF" w:rsidRPr="0043071F">
        <w:rPr>
          <w:rFonts w:ascii="Times New Roman" w:hAnsi="Times New Roman" w:cs="Times New Roman"/>
          <w:sz w:val="24"/>
          <w:szCs w:val="24"/>
          <w:lang w:val="en-US"/>
        </w:rPr>
        <w:t xml:space="preserve"> </w:t>
      </w:r>
      <w:r w:rsidR="00A60BFF">
        <w:rPr>
          <w:rFonts w:ascii="Times New Roman" w:hAnsi="Times New Roman" w:cs="Times New Roman"/>
          <w:sz w:val="24"/>
          <w:szCs w:val="24"/>
          <w:lang w:val="en-US"/>
        </w:rPr>
        <w:t>to</w:t>
      </w:r>
      <w:r w:rsidR="008E00D0" w:rsidRPr="0043071F">
        <w:rPr>
          <w:rFonts w:ascii="Times New Roman" w:hAnsi="Times New Roman" w:cs="Times New Roman"/>
          <w:sz w:val="24"/>
          <w:szCs w:val="24"/>
          <w:lang w:val="en-US"/>
        </w:rPr>
        <w:t xml:space="preserve"> </w:t>
      </w:r>
      <w:r w:rsidR="008E00D0">
        <w:rPr>
          <w:rFonts w:ascii="Times New Roman" w:hAnsi="Times New Roman" w:cs="Times New Roman"/>
          <w:sz w:val="24"/>
          <w:szCs w:val="24"/>
          <w:lang w:val="en-US"/>
        </w:rPr>
        <w:t>u</w:t>
      </w:r>
      <w:r w:rsidR="008E00D0" w:rsidRPr="0043071F">
        <w:rPr>
          <w:rFonts w:ascii="Times New Roman" w:hAnsi="Times New Roman" w:cs="Times New Roman"/>
          <w:sz w:val="24"/>
          <w:szCs w:val="24"/>
          <w:lang w:val="en-US"/>
        </w:rPr>
        <w:t>3</w:t>
      </w:r>
      <w:r w:rsidR="00A60BFF" w:rsidRPr="0043071F">
        <w:rPr>
          <w:rFonts w:ascii="Times New Roman" w:hAnsi="Times New Roman" w:cs="Times New Roman"/>
          <w:sz w:val="24"/>
          <w:szCs w:val="24"/>
          <w:lang w:val="en-US"/>
        </w:rPr>
        <w:t xml:space="preserve"> </w:t>
      </w:r>
      <w:r w:rsidR="00A60BFF">
        <w:rPr>
          <w:rFonts w:ascii="Times New Roman" w:hAnsi="Times New Roman" w:cs="Times New Roman"/>
          <w:sz w:val="24"/>
          <w:szCs w:val="24"/>
          <w:lang w:val="en-US"/>
        </w:rPr>
        <w:t>shocks</w:t>
      </w:r>
      <w:r w:rsidR="00A60BFF" w:rsidRPr="0043071F">
        <w:rPr>
          <w:rFonts w:ascii="Times New Roman" w:hAnsi="Times New Roman" w:cs="Times New Roman"/>
          <w:sz w:val="24"/>
          <w:szCs w:val="24"/>
          <w:lang w:val="en-US"/>
        </w:rPr>
        <w:t xml:space="preserve"> </w:t>
      </w:r>
      <w:r w:rsidR="00A60BFF">
        <w:rPr>
          <w:rFonts w:ascii="Times New Roman" w:hAnsi="Times New Roman" w:cs="Times New Roman"/>
          <w:sz w:val="24"/>
          <w:szCs w:val="24"/>
          <w:lang w:val="en-US"/>
        </w:rPr>
        <w:t>and</w:t>
      </w:r>
      <w:r w:rsidR="008E00D0" w:rsidRPr="0043071F">
        <w:rPr>
          <w:rFonts w:ascii="Times New Roman" w:hAnsi="Times New Roman" w:cs="Times New Roman"/>
          <w:sz w:val="24"/>
          <w:szCs w:val="24"/>
          <w:lang w:val="en-US"/>
        </w:rPr>
        <w:t xml:space="preserve"> 90% </w:t>
      </w:r>
      <w:r w:rsidR="0043071F">
        <w:rPr>
          <w:rFonts w:ascii="Times New Roman" w:hAnsi="Times New Roman" w:cs="Times New Roman"/>
          <w:sz w:val="24"/>
          <w:szCs w:val="24"/>
          <w:lang w:val="en-US"/>
        </w:rPr>
        <w:t>confidence intervals</w:t>
      </w:r>
      <w:r w:rsidR="00221B71" w:rsidRPr="0043071F">
        <w:rPr>
          <w:rFonts w:ascii="Times New Roman" w:hAnsi="Times New Roman" w:cs="Times New Roman"/>
          <w:sz w:val="24"/>
          <w:szCs w:val="24"/>
          <w:lang w:val="en-US"/>
        </w:rPr>
        <w:t xml:space="preserve"> (</w:t>
      </w:r>
      <w:r w:rsidR="0043071F">
        <w:rPr>
          <w:rFonts w:ascii="Times New Roman" w:hAnsi="Times New Roman" w:cs="Times New Roman"/>
          <w:sz w:val="24"/>
          <w:szCs w:val="24"/>
          <w:lang w:val="en-US"/>
        </w:rPr>
        <w:t>source</w:t>
      </w:r>
      <w:r w:rsidR="00221B71" w:rsidRPr="0043071F">
        <w:rPr>
          <w:rFonts w:ascii="Times New Roman" w:hAnsi="Times New Roman" w:cs="Times New Roman"/>
          <w:sz w:val="24"/>
          <w:szCs w:val="24"/>
          <w:lang w:val="en-US"/>
        </w:rPr>
        <w:t>:</w:t>
      </w:r>
      <w:r w:rsidR="0043071F">
        <w:rPr>
          <w:rFonts w:ascii="Times New Roman" w:hAnsi="Times New Roman" w:cs="Times New Roman"/>
          <w:sz w:val="24"/>
          <w:szCs w:val="24"/>
          <w:lang w:val="en-US"/>
        </w:rPr>
        <w:t xml:space="preserve"> author’s calculations</w:t>
      </w:r>
      <w:r w:rsidR="00221B71" w:rsidRPr="0043071F">
        <w:rPr>
          <w:rFonts w:ascii="Times New Roman" w:hAnsi="Times New Roman" w:cs="Times New Roman"/>
          <w:sz w:val="24"/>
          <w:szCs w:val="24"/>
          <w:lang w:val="en-US"/>
        </w:rPr>
        <w:t>)</w:t>
      </w:r>
    </w:p>
    <w:p w14:paraId="152F28FD" w14:textId="77777777" w:rsidR="008E00D0" w:rsidRPr="0043071F" w:rsidRDefault="008E00D0" w:rsidP="005E62C3">
      <w:pPr>
        <w:spacing w:after="0" w:line="360" w:lineRule="auto"/>
        <w:jc w:val="center"/>
        <w:rPr>
          <w:rFonts w:ascii="Times New Roman" w:hAnsi="Times New Roman" w:cs="Times New Roman"/>
          <w:sz w:val="24"/>
          <w:szCs w:val="24"/>
          <w:lang w:val="en-US"/>
        </w:rPr>
      </w:pPr>
    </w:p>
    <w:p w14:paraId="44EC72E6" w14:textId="7F904E1C" w:rsidR="00503995" w:rsidRPr="00191B88" w:rsidRDefault="00191B88" w:rsidP="00503995">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05775BD0" w14:textId="77777777" w:rsidR="005B0606" w:rsidRDefault="005B0606" w:rsidP="00E4090B">
      <w:pPr>
        <w:spacing w:after="0" w:line="360" w:lineRule="auto"/>
        <w:jc w:val="both"/>
        <w:rPr>
          <w:rFonts w:ascii="Times New Roman" w:hAnsi="Times New Roman" w:cs="Times New Roman"/>
          <w:sz w:val="24"/>
          <w:szCs w:val="24"/>
          <w:lang w:val="en-US"/>
        </w:rPr>
      </w:pPr>
      <w:r w:rsidRPr="007E20BC">
        <w:rPr>
          <w:rFonts w:ascii="Times New Roman" w:hAnsi="Times New Roman" w:cs="Times New Roman"/>
          <w:sz w:val="24"/>
          <w:szCs w:val="24"/>
          <w:lang w:val="en-US"/>
        </w:rPr>
        <w:t xml:space="preserve"> </w:t>
      </w:r>
      <w:r w:rsidRPr="00503995">
        <w:rPr>
          <w:rFonts w:ascii="Times New Roman" w:hAnsi="Times New Roman" w:cs="Times New Roman"/>
          <w:sz w:val="24"/>
          <w:szCs w:val="24"/>
          <w:lang w:val="en-US"/>
        </w:rPr>
        <w:t>Baker</w:t>
      </w:r>
      <w:r>
        <w:rPr>
          <w:rFonts w:ascii="Times New Roman" w:hAnsi="Times New Roman" w:cs="Times New Roman"/>
          <w:sz w:val="24"/>
          <w:szCs w:val="24"/>
          <w:lang w:val="en-US"/>
        </w:rPr>
        <w:t xml:space="preserve"> S.R.</w:t>
      </w:r>
      <w:r w:rsidRPr="005039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03995">
        <w:rPr>
          <w:rFonts w:ascii="Times New Roman" w:hAnsi="Times New Roman" w:cs="Times New Roman"/>
          <w:sz w:val="24"/>
          <w:szCs w:val="24"/>
          <w:lang w:val="en-US"/>
        </w:rPr>
        <w:t>Bloom</w:t>
      </w:r>
      <w:r>
        <w:rPr>
          <w:rFonts w:ascii="Times New Roman" w:hAnsi="Times New Roman" w:cs="Times New Roman"/>
          <w:sz w:val="24"/>
          <w:szCs w:val="24"/>
          <w:lang w:val="en-US"/>
        </w:rPr>
        <w:t xml:space="preserve"> N.</w:t>
      </w:r>
      <w:r w:rsidRPr="00503995">
        <w:rPr>
          <w:rFonts w:ascii="Times New Roman" w:hAnsi="Times New Roman" w:cs="Times New Roman"/>
          <w:sz w:val="24"/>
          <w:szCs w:val="24"/>
          <w:lang w:val="en-US"/>
        </w:rPr>
        <w:t>, Davis</w:t>
      </w:r>
      <w:r>
        <w:rPr>
          <w:rFonts w:ascii="Times New Roman" w:hAnsi="Times New Roman" w:cs="Times New Roman"/>
          <w:sz w:val="24"/>
          <w:szCs w:val="24"/>
          <w:lang w:val="en-US"/>
        </w:rPr>
        <w:t xml:space="preserve"> S.J. (2016)</w:t>
      </w:r>
      <w:r w:rsidRPr="00503995">
        <w:rPr>
          <w:rFonts w:ascii="Times New Roman" w:hAnsi="Times New Roman" w:cs="Times New Roman"/>
          <w:sz w:val="24"/>
          <w:szCs w:val="24"/>
          <w:lang w:val="en-US"/>
        </w:rPr>
        <w:t>. Measuring economic policy uncertainty. Quarte</w:t>
      </w:r>
      <w:r>
        <w:rPr>
          <w:rFonts w:ascii="Times New Roman" w:hAnsi="Times New Roman" w:cs="Times New Roman"/>
          <w:sz w:val="24"/>
          <w:szCs w:val="24"/>
          <w:lang w:val="en-US"/>
        </w:rPr>
        <w:t>r</w:t>
      </w:r>
      <w:r w:rsidRPr="00503995">
        <w:rPr>
          <w:rFonts w:ascii="Times New Roman" w:hAnsi="Times New Roman" w:cs="Times New Roman"/>
          <w:sz w:val="24"/>
          <w:szCs w:val="24"/>
          <w:lang w:val="en-US"/>
        </w:rPr>
        <w:t>ly</w:t>
      </w:r>
      <w:r w:rsidRPr="0090259C">
        <w:rPr>
          <w:rFonts w:ascii="Times New Roman" w:hAnsi="Times New Roman" w:cs="Times New Roman"/>
          <w:sz w:val="24"/>
          <w:szCs w:val="24"/>
          <w:lang w:val="en-US"/>
        </w:rPr>
        <w:t xml:space="preserve"> </w:t>
      </w:r>
      <w:r w:rsidRPr="00503995">
        <w:rPr>
          <w:rFonts w:ascii="Times New Roman" w:hAnsi="Times New Roman" w:cs="Times New Roman"/>
          <w:sz w:val="24"/>
          <w:szCs w:val="24"/>
          <w:lang w:val="en-US"/>
        </w:rPr>
        <w:t>Journal of Economics, 131(4):1593</w:t>
      </w:r>
      <w:r>
        <w:rPr>
          <w:rFonts w:ascii="Times New Roman" w:hAnsi="Times New Roman" w:cs="Times New Roman"/>
          <w:sz w:val="24"/>
          <w:szCs w:val="24"/>
          <w:lang w:val="en-US"/>
        </w:rPr>
        <w:t>-</w:t>
      </w:r>
      <w:r w:rsidRPr="00503995">
        <w:rPr>
          <w:rFonts w:ascii="Times New Roman" w:hAnsi="Times New Roman" w:cs="Times New Roman"/>
          <w:sz w:val="24"/>
          <w:szCs w:val="24"/>
          <w:lang w:val="en-US"/>
        </w:rPr>
        <w:t>1636</w:t>
      </w:r>
      <w:r>
        <w:rPr>
          <w:rFonts w:ascii="Times New Roman" w:hAnsi="Times New Roman" w:cs="Times New Roman"/>
          <w:sz w:val="24"/>
          <w:szCs w:val="24"/>
          <w:lang w:val="en-US"/>
        </w:rPr>
        <w:t>.</w:t>
      </w:r>
    </w:p>
    <w:p w14:paraId="4F0A002C" w14:textId="77777777" w:rsidR="005B0606" w:rsidRDefault="005B0606" w:rsidP="00E4090B">
      <w:pPr>
        <w:spacing w:after="0" w:line="360" w:lineRule="auto"/>
        <w:jc w:val="both"/>
        <w:rPr>
          <w:rFonts w:ascii="Times New Roman" w:hAnsi="Times New Roman" w:cs="Times New Roman"/>
          <w:sz w:val="24"/>
          <w:szCs w:val="24"/>
          <w:lang w:val="en-US"/>
        </w:rPr>
      </w:pPr>
      <w:r w:rsidRPr="00503995">
        <w:rPr>
          <w:rFonts w:ascii="Times New Roman" w:hAnsi="Times New Roman" w:cs="Times New Roman"/>
          <w:sz w:val="24"/>
          <w:szCs w:val="24"/>
          <w:lang w:val="en-US"/>
        </w:rPr>
        <w:t>Caldara D</w:t>
      </w:r>
      <w:r>
        <w:rPr>
          <w:rFonts w:ascii="Times New Roman" w:hAnsi="Times New Roman" w:cs="Times New Roman"/>
          <w:sz w:val="24"/>
          <w:szCs w:val="24"/>
          <w:lang w:val="en-US"/>
        </w:rPr>
        <w:t>.,</w:t>
      </w:r>
      <w:r w:rsidRPr="00503995">
        <w:rPr>
          <w:rFonts w:ascii="Times New Roman" w:hAnsi="Times New Roman" w:cs="Times New Roman"/>
          <w:sz w:val="24"/>
          <w:szCs w:val="24"/>
          <w:lang w:val="en-US"/>
        </w:rPr>
        <w:t xml:space="preserve"> </w:t>
      </w:r>
      <w:proofErr w:type="spellStart"/>
      <w:r w:rsidRPr="00503995">
        <w:rPr>
          <w:rFonts w:ascii="Times New Roman" w:hAnsi="Times New Roman" w:cs="Times New Roman"/>
          <w:sz w:val="24"/>
          <w:szCs w:val="24"/>
          <w:lang w:val="en-US"/>
        </w:rPr>
        <w:t>Iacoviello</w:t>
      </w:r>
      <w:proofErr w:type="spellEnd"/>
      <w:r>
        <w:rPr>
          <w:rFonts w:ascii="Times New Roman" w:hAnsi="Times New Roman" w:cs="Times New Roman"/>
          <w:sz w:val="24"/>
          <w:szCs w:val="24"/>
          <w:lang w:val="en-US"/>
        </w:rPr>
        <w:t xml:space="preserve"> M. (2021).</w:t>
      </w:r>
      <w:r w:rsidRPr="00503995">
        <w:rPr>
          <w:rFonts w:ascii="Times New Roman" w:hAnsi="Times New Roman" w:cs="Times New Roman"/>
          <w:sz w:val="24"/>
          <w:szCs w:val="24"/>
          <w:lang w:val="en-US"/>
        </w:rPr>
        <w:t xml:space="preserve"> Measuring Geopolitical Risk</w:t>
      </w:r>
      <w:r>
        <w:rPr>
          <w:rFonts w:ascii="Times New Roman" w:hAnsi="Times New Roman" w:cs="Times New Roman"/>
          <w:sz w:val="24"/>
          <w:szCs w:val="24"/>
          <w:lang w:val="en-US"/>
        </w:rPr>
        <w:t>.</w:t>
      </w:r>
      <w:r w:rsidRPr="00503995">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503995">
        <w:rPr>
          <w:rFonts w:ascii="Times New Roman" w:hAnsi="Times New Roman" w:cs="Times New Roman"/>
          <w:sz w:val="24"/>
          <w:szCs w:val="24"/>
          <w:lang w:val="en-US"/>
        </w:rPr>
        <w:t xml:space="preserve">orking paper, Board of </w:t>
      </w:r>
      <w:r>
        <w:rPr>
          <w:rFonts w:ascii="Times New Roman" w:hAnsi="Times New Roman" w:cs="Times New Roman"/>
          <w:sz w:val="24"/>
          <w:szCs w:val="24"/>
          <w:lang w:val="en-US"/>
        </w:rPr>
        <w:t>G</w:t>
      </w:r>
      <w:r w:rsidRPr="00503995">
        <w:rPr>
          <w:rFonts w:ascii="Times New Roman" w:hAnsi="Times New Roman" w:cs="Times New Roman"/>
          <w:sz w:val="24"/>
          <w:szCs w:val="24"/>
          <w:lang w:val="en-US"/>
        </w:rPr>
        <w:t>overnors of the Federal Reserve</w:t>
      </w:r>
      <w:r>
        <w:rPr>
          <w:rFonts w:ascii="Times New Roman" w:hAnsi="Times New Roman" w:cs="Times New Roman"/>
          <w:sz w:val="24"/>
          <w:szCs w:val="24"/>
          <w:lang w:val="en-US"/>
        </w:rPr>
        <w:t>.</w:t>
      </w:r>
    </w:p>
    <w:p w14:paraId="4DB56802" w14:textId="73403DAB" w:rsidR="005B0606" w:rsidRDefault="005B0606" w:rsidP="003C1AA8">
      <w:pPr>
        <w:spacing w:after="0" w:line="360" w:lineRule="auto"/>
        <w:jc w:val="both"/>
        <w:rPr>
          <w:rFonts w:ascii="Times New Roman" w:hAnsi="Times New Roman" w:cs="Times New Roman"/>
          <w:sz w:val="24"/>
          <w:szCs w:val="24"/>
          <w:lang w:val="en-US"/>
        </w:rPr>
      </w:pPr>
      <w:r w:rsidRPr="003C1AA8">
        <w:rPr>
          <w:rFonts w:ascii="Times New Roman" w:hAnsi="Times New Roman" w:cs="Times New Roman"/>
          <w:sz w:val="24"/>
          <w:szCs w:val="24"/>
          <w:lang w:val="en-US"/>
        </w:rPr>
        <w:t xml:space="preserve"> </w:t>
      </w:r>
      <w:proofErr w:type="spellStart"/>
      <w:r w:rsidRPr="007E20BC">
        <w:rPr>
          <w:rFonts w:ascii="Times New Roman" w:hAnsi="Times New Roman" w:cs="Times New Roman"/>
          <w:sz w:val="24"/>
          <w:szCs w:val="24"/>
          <w:lang w:val="en-US"/>
        </w:rPr>
        <w:t>Fedorova</w:t>
      </w:r>
      <w:proofErr w:type="spellEnd"/>
      <w:r w:rsidRPr="007E20BC">
        <w:rPr>
          <w:rFonts w:ascii="Times New Roman" w:hAnsi="Times New Roman" w:cs="Times New Roman"/>
          <w:sz w:val="24"/>
          <w:szCs w:val="24"/>
          <w:lang w:val="en-US"/>
        </w:rPr>
        <w:t xml:space="preserve"> E.A., </w:t>
      </w:r>
      <w:proofErr w:type="spellStart"/>
      <w:r w:rsidRPr="007E20BC">
        <w:rPr>
          <w:rFonts w:ascii="Times New Roman" w:hAnsi="Times New Roman" w:cs="Times New Roman"/>
          <w:sz w:val="24"/>
          <w:szCs w:val="24"/>
          <w:lang w:val="en-US"/>
        </w:rPr>
        <w:t>Musienko</w:t>
      </w:r>
      <w:proofErr w:type="spellEnd"/>
      <w:r w:rsidRPr="007E20BC">
        <w:rPr>
          <w:rFonts w:ascii="Times New Roman" w:hAnsi="Times New Roman" w:cs="Times New Roman"/>
          <w:sz w:val="24"/>
          <w:szCs w:val="24"/>
          <w:lang w:val="en-US"/>
        </w:rPr>
        <w:t xml:space="preserve"> S.O., Fedorov </w:t>
      </w:r>
      <w:proofErr w:type="spellStart"/>
      <w:r w:rsidRPr="007E20BC">
        <w:rPr>
          <w:rFonts w:ascii="Times New Roman" w:hAnsi="Times New Roman" w:cs="Times New Roman"/>
          <w:sz w:val="24"/>
          <w:szCs w:val="24"/>
          <w:lang w:val="en-US"/>
        </w:rPr>
        <w:t>F.Yu</w:t>
      </w:r>
      <w:proofErr w:type="spellEnd"/>
      <w:r w:rsidRPr="007E20BC">
        <w:rPr>
          <w:rFonts w:ascii="Times New Roman" w:hAnsi="Times New Roman" w:cs="Times New Roman"/>
          <w:sz w:val="24"/>
          <w:szCs w:val="24"/>
          <w:lang w:val="en-US"/>
        </w:rPr>
        <w:t>.</w:t>
      </w:r>
      <w:r w:rsidR="002A7200">
        <w:rPr>
          <w:rFonts w:ascii="Times New Roman" w:hAnsi="Times New Roman" w:cs="Times New Roman"/>
          <w:sz w:val="24"/>
          <w:szCs w:val="24"/>
          <w:lang w:val="en-US"/>
        </w:rPr>
        <w:t xml:space="preserve"> (2019).</w:t>
      </w:r>
      <w:r w:rsidRPr="007E20BC">
        <w:rPr>
          <w:rFonts w:ascii="Times New Roman" w:hAnsi="Times New Roman" w:cs="Times New Roman"/>
          <w:sz w:val="24"/>
          <w:szCs w:val="24"/>
          <w:lang w:val="en-US"/>
        </w:rPr>
        <w:t xml:space="preserve"> Development of Russian Political Uncertainty Index (RPUI): Textual Analysis. Economics of Contemporary Russia. </w:t>
      </w:r>
      <w:r w:rsidR="002A7200">
        <w:rPr>
          <w:rFonts w:ascii="Times New Roman" w:hAnsi="Times New Roman" w:cs="Times New Roman"/>
          <w:sz w:val="24"/>
          <w:szCs w:val="24"/>
          <w:lang w:val="en-US"/>
        </w:rPr>
        <w:t xml:space="preserve">No. </w:t>
      </w:r>
      <w:r w:rsidRPr="007E20BC">
        <w:rPr>
          <w:rFonts w:ascii="Times New Roman" w:hAnsi="Times New Roman" w:cs="Times New Roman"/>
          <w:sz w:val="24"/>
          <w:szCs w:val="24"/>
          <w:lang w:val="en-US"/>
        </w:rPr>
        <w:t>2</w:t>
      </w:r>
      <w:r w:rsidR="002A7200">
        <w:rPr>
          <w:rFonts w:ascii="Times New Roman" w:hAnsi="Times New Roman" w:cs="Times New Roman"/>
          <w:sz w:val="24"/>
          <w:szCs w:val="24"/>
          <w:lang w:val="en-US"/>
        </w:rPr>
        <w:t xml:space="preserve">, pp. </w:t>
      </w:r>
      <w:r w:rsidRPr="007E20BC">
        <w:rPr>
          <w:rFonts w:ascii="Times New Roman" w:hAnsi="Times New Roman" w:cs="Times New Roman"/>
          <w:sz w:val="24"/>
          <w:szCs w:val="24"/>
          <w:lang w:val="en-US"/>
        </w:rPr>
        <w:t>52-64. (In Russ</w:t>
      </w:r>
      <w:r>
        <w:rPr>
          <w:rFonts w:ascii="Times New Roman" w:hAnsi="Times New Roman" w:cs="Times New Roman"/>
          <w:sz w:val="24"/>
          <w:szCs w:val="24"/>
          <w:lang w:val="en-US"/>
        </w:rPr>
        <w:t>ian</w:t>
      </w:r>
      <w:r w:rsidRPr="007E20BC">
        <w:rPr>
          <w:rFonts w:ascii="Times New Roman" w:hAnsi="Times New Roman" w:cs="Times New Roman"/>
          <w:sz w:val="24"/>
          <w:szCs w:val="24"/>
          <w:lang w:val="en-US"/>
        </w:rPr>
        <w:t>)</w:t>
      </w:r>
    </w:p>
    <w:p w14:paraId="4363EE44" w14:textId="77777777" w:rsidR="005B0606" w:rsidRPr="00503995" w:rsidRDefault="005B0606" w:rsidP="00E4090B">
      <w:pPr>
        <w:spacing w:after="0" w:line="360" w:lineRule="auto"/>
        <w:jc w:val="both"/>
        <w:rPr>
          <w:rFonts w:ascii="Times New Roman" w:hAnsi="Times New Roman" w:cs="Times New Roman"/>
          <w:sz w:val="24"/>
          <w:szCs w:val="24"/>
          <w:lang w:val="en-US"/>
        </w:rPr>
      </w:pPr>
      <w:r w:rsidRPr="00503995">
        <w:rPr>
          <w:rFonts w:ascii="Times New Roman" w:hAnsi="Times New Roman" w:cs="Times New Roman"/>
          <w:sz w:val="24"/>
          <w:szCs w:val="24"/>
          <w:lang w:val="en-US"/>
        </w:rPr>
        <w:t xml:space="preserve">Jurado </w:t>
      </w:r>
      <w:r>
        <w:rPr>
          <w:rFonts w:ascii="Times New Roman" w:hAnsi="Times New Roman" w:cs="Times New Roman"/>
          <w:sz w:val="24"/>
          <w:szCs w:val="24"/>
          <w:lang w:val="en-US"/>
        </w:rPr>
        <w:t>K.</w:t>
      </w:r>
      <w:r w:rsidRPr="00503995">
        <w:rPr>
          <w:rFonts w:ascii="Times New Roman" w:hAnsi="Times New Roman" w:cs="Times New Roman"/>
          <w:sz w:val="24"/>
          <w:szCs w:val="24"/>
          <w:lang w:val="en-US"/>
        </w:rPr>
        <w:t xml:space="preserve">, </w:t>
      </w:r>
      <w:proofErr w:type="spellStart"/>
      <w:r w:rsidRPr="00503995">
        <w:rPr>
          <w:rFonts w:ascii="Times New Roman" w:hAnsi="Times New Roman" w:cs="Times New Roman"/>
          <w:sz w:val="24"/>
          <w:szCs w:val="24"/>
          <w:lang w:val="en-US"/>
        </w:rPr>
        <w:t>Ludvigson</w:t>
      </w:r>
      <w:proofErr w:type="spellEnd"/>
      <w:r>
        <w:rPr>
          <w:rFonts w:ascii="Times New Roman" w:hAnsi="Times New Roman" w:cs="Times New Roman"/>
          <w:sz w:val="24"/>
          <w:szCs w:val="24"/>
          <w:lang w:val="en-US"/>
        </w:rPr>
        <w:t xml:space="preserve"> S.C.</w:t>
      </w:r>
      <w:r w:rsidRPr="00503995">
        <w:rPr>
          <w:rFonts w:ascii="Times New Roman" w:hAnsi="Times New Roman" w:cs="Times New Roman"/>
          <w:sz w:val="24"/>
          <w:szCs w:val="24"/>
          <w:lang w:val="en-US"/>
        </w:rPr>
        <w:t>, Ng</w:t>
      </w:r>
      <w:r>
        <w:rPr>
          <w:rFonts w:ascii="Times New Roman" w:hAnsi="Times New Roman" w:cs="Times New Roman"/>
          <w:sz w:val="24"/>
          <w:szCs w:val="24"/>
          <w:lang w:val="en-US"/>
        </w:rPr>
        <w:t xml:space="preserve"> S</w:t>
      </w:r>
      <w:r w:rsidRPr="00503995">
        <w:rPr>
          <w:rFonts w:ascii="Times New Roman" w:hAnsi="Times New Roman" w:cs="Times New Roman"/>
          <w:sz w:val="24"/>
          <w:szCs w:val="24"/>
          <w:lang w:val="en-US"/>
        </w:rPr>
        <w:t>.</w:t>
      </w:r>
      <w:r>
        <w:rPr>
          <w:rFonts w:ascii="Times New Roman" w:hAnsi="Times New Roman" w:cs="Times New Roman"/>
          <w:sz w:val="24"/>
          <w:szCs w:val="24"/>
          <w:lang w:val="en-US"/>
        </w:rPr>
        <w:t xml:space="preserve"> (2015).</w:t>
      </w:r>
      <w:r w:rsidRPr="00503995">
        <w:rPr>
          <w:rFonts w:ascii="Times New Roman" w:hAnsi="Times New Roman" w:cs="Times New Roman"/>
          <w:sz w:val="24"/>
          <w:szCs w:val="24"/>
          <w:lang w:val="en-US"/>
        </w:rPr>
        <w:t xml:space="preserve"> Measuring uncertainty. The American Economic</w:t>
      </w:r>
      <w:r>
        <w:rPr>
          <w:rFonts w:ascii="Times New Roman" w:hAnsi="Times New Roman" w:cs="Times New Roman"/>
          <w:sz w:val="24"/>
          <w:szCs w:val="24"/>
          <w:lang w:val="en-US"/>
        </w:rPr>
        <w:t xml:space="preserve"> </w:t>
      </w:r>
      <w:r w:rsidRPr="00503995">
        <w:rPr>
          <w:rFonts w:ascii="Times New Roman" w:hAnsi="Times New Roman" w:cs="Times New Roman"/>
          <w:sz w:val="24"/>
          <w:szCs w:val="24"/>
          <w:lang w:val="en-US"/>
        </w:rPr>
        <w:t>Review, 105:1117</w:t>
      </w:r>
      <w:r>
        <w:rPr>
          <w:rFonts w:ascii="Times New Roman" w:hAnsi="Times New Roman" w:cs="Times New Roman"/>
          <w:sz w:val="24"/>
          <w:szCs w:val="24"/>
          <w:lang w:val="en-US"/>
        </w:rPr>
        <w:t>-</w:t>
      </w:r>
      <w:r w:rsidRPr="00503995">
        <w:rPr>
          <w:rFonts w:ascii="Times New Roman" w:hAnsi="Times New Roman" w:cs="Times New Roman"/>
          <w:sz w:val="24"/>
          <w:szCs w:val="24"/>
          <w:lang w:val="en-US"/>
        </w:rPr>
        <w:t>1216</w:t>
      </w:r>
      <w:r>
        <w:rPr>
          <w:rFonts w:ascii="Times New Roman" w:hAnsi="Times New Roman" w:cs="Times New Roman"/>
          <w:sz w:val="24"/>
          <w:szCs w:val="24"/>
          <w:lang w:val="en-US"/>
        </w:rPr>
        <w:t>.</w:t>
      </w:r>
    </w:p>
    <w:p w14:paraId="6BB882DD" w14:textId="31CCFC71" w:rsidR="005B0606" w:rsidRDefault="005B0606" w:rsidP="00E4090B">
      <w:pPr>
        <w:spacing w:after="0" w:line="360" w:lineRule="auto"/>
        <w:jc w:val="both"/>
        <w:rPr>
          <w:rFonts w:ascii="Times New Roman" w:hAnsi="Times New Roman" w:cs="Times New Roman"/>
          <w:sz w:val="24"/>
          <w:szCs w:val="24"/>
          <w:lang w:val="en-US"/>
        </w:rPr>
      </w:pPr>
      <w:proofErr w:type="spellStart"/>
      <w:r w:rsidRPr="00191B88">
        <w:rPr>
          <w:rFonts w:ascii="Times New Roman" w:hAnsi="Times New Roman" w:cs="Times New Roman"/>
          <w:sz w:val="24"/>
          <w:szCs w:val="24"/>
          <w:lang w:val="en-US"/>
        </w:rPr>
        <w:t>Naidenova</w:t>
      </w:r>
      <w:proofErr w:type="spellEnd"/>
      <w:r w:rsidRPr="00191B88">
        <w:rPr>
          <w:rFonts w:ascii="Times New Roman" w:hAnsi="Times New Roman" w:cs="Times New Roman"/>
          <w:sz w:val="24"/>
          <w:szCs w:val="24"/>
          <w:lang w:val="en-US"/>
        </w:rPr>
        <w:t xml:space="preserve"> </w:t>
      </w:r>
      <w:proofErr w:type="spellStart"/>
      <w:r w:rsidRPr="00191B88">
        <w:rPr>
          <w:rFonts w:ascii="Times New Roman" w:hAnsi="Times New Roman" w:cs="Times New Roman"/>
          <w:sz w:val="24"/>
          <w:szCs w:val="24"/>
          <w:lang w:val="en-US"/>
        </w:rPr>
        <w:t>Yu.N</w:t>
      </w:r>
      <w:proofErr w:type="spellEnd"/>
      <w:r w:rsidRPr="00191B88">
        <w:rPr>
          <w:rFonts w:ascii="Times New Roman" w:hAnsi="Times New Roman" w:cs="Times New Roman"/>
          <w:sz w:val="24"/>
          <w:szCs w:val="24"/>
          <w:lang w:val="en-US"/>
        </w:rPr>
        <w:t xml:space="preserve">., </w:t>
      </w:r>
      <w:proofErr w:type="spellStart"/>
      <w:r w:rsidRPr="00191B88">
        <w:rPr>
          <w:rFonts w:ascii="Times New Roman" w:hAnsi="Times New Roman" w:cs="Times New Roman"/>
          <w:sz w:val="24"/>
          <w:szCs w:val="24"/>
          <w:lang w:val="en-US"/>
        </w:rPr>
        <w:t>Leonteva</w:t>
      </w:r>
      <w:proofErr w:type="spellEnd"/>
      <w:r w:rsidRPr="00191B88">
        <w:rPr>
          <w:rFonts w:ascii="Times New Roman" w:hAnsi="Times New Roman" w:cs="Times New Roman"/>
          <w:sz w:val="24"/>
          <w:szCs w:val="24"/>
          <w:lang w:val="en-US"/>
        </w:rPr>
        <w:t xml:space="preserve"> V.V. </w:t>
      </w:r>
      <w:r w:rsidR="002A7200">
        <w:rPr>
          <w:rFonts w:ascii="Times New Roman" w:hAnsi="Times New Roman" w:cs="Times New Roman"/>
          <w:sz w:val="24"/>
          <w:szCs w:val="24"/>
          <w:lang w:val="en-US"/>
        </w:rPr>
        <w:t xml:space="preserve">(2020). </w:t>
      </w:r>
      <w:r w:rsidRPr="00191B88">
        <w:rPr>
          <w:rFonts w:ascii="Times New Roman" w:hAnsi="Times New Roman" w:cs="Times New Roman"/>
          <w:sz w:val="24"/>
          <w:szCs w:val="24"/>
          <w:lang w:val="en-US"/>
        </w:rPr>
        <w:t xml:space="preserve">Economic policy uncertainty and investment of Russian companies. </w:t>
      </w:r>
      <w:proofErr w:type="spellStart"/>
      <w:r w:rsidRPr="00191B88">
        <w:rPr>
          <w:rFonts w:ascii="Times New Roman" w:hAnsi="Times New Roman" w:cs="Times New Roman"/>
          <w:sz w:val="24"/>
          <w:szCs w:val="24"/>
          <w:lang w:val="en-US"/>
        </w:rPr>
        <w:t>Voprosy</w:t>
      </w:r>
      <w:proofErr w:type="spellEnd"/>
      <w:r w:rsidRPr="00191B88">
        <w:rPr>
          <w:rFonts w:ascii="Times New Roman" w:hAnsi="Times New Roman" w:cs="Times New Roman"/>
          <w:sz w:val="24"/>
          <w:szCs w:val="24"/>
          <w:lang w:val="en-US"/>
        </w:rPr>
        <w:t xml:space="preserve"> </w:t>
      </w:r>
      <w:proofErr w:type="spellStart"/>
      <w:r w:rsidRPr="00191B88">
        <w:rPr>
          <w:rFonts w:ascii="Times New Roman" w:hAnsi="Times New Roman" w:cs="Times New Roman"/>
          <w:sz w:val="24"/>
          <w:szCs w:val="24"/>
          <w:lang w:val="en-US"/>
        </w:rPr>
        <w:t>Ekonomiki</w:t>
      </w:r>
      <w:proofErr w:type="spellEnd"/>
      <w:r w:rsidRPr="00191B88">
        <w:rPr>
          <w:rFonts w:ascii="Times New Roman" w:hAnsi="Times New Roman" w:cs="Times New Roman"/>
          <w:sz w:val="24"/>
          <w:szCs w:val="24"/>
          <w:lang w:val="en-US"/>
        </w:rPr>
        <w:t>.</w:t>
      </w:r>
      <w:r w:rsidR="002A7200">
        <w:rPr>
          <w:rFonts w:ascii="Times New Roman" w:hAnsi="Times New Roman" w:cs="Times New Roman"/>
          <w:sz w:val="24"/>
          <w:szCs w:val="24"/>
          <w:lang w:val="en-US"/>
        </w:rPr>
        <w:t xml:space="preserve"> No. 2, pp. </w:t>
      </w:r>
      <w:r w:rsidRPr="00191B88">
        <w:rPr>
          <w:rFonts w:ascii="Times New Roman" w:hAnsi="Times New Roman" w:cs="Times New Roman"/>
          <w:sz w:val="24"/>
          <w:szCs w:val="24"/>
          <w:lang w:val="en-US"/>
        </w:rPr>
        <w:t>141-159. (In Russ</w:t>
      </w:r>
      <w:r>
        <w:rPr>
          <w:rFonts w:ascii="Times New Roman" w:hAnsi="Times New Roman" w:cs="Times New Roman"/>
          <w:sz w:val="24"/>
          <w:szCs w:val="24"/>
          <w:lang w:val="en-US"/>
        </w:rPr>
        <w:t>ian)</w:t>
      </w:r>
    </w:p>
    <w:p w14:paraId="20814229" w14:textId="77777777" w:rsidR="005B0606" w:rsidRDefault="005B0606" w:rsidP="003C1AA8">
      <w:pPr>
        <w:spacing w:after="0" w:line="360" w:lineRule="auto"/>
        <w:jc w:val="both"/>
        <w:rPr>
          <w:rFonts w:ascii="Times New Roman" w:hAnsi="Times New Roman" w:cs="Times New Roman"/>
          <w:sz w:val="24"/>
          <w:szCs w:val="24"/>
          <w:lang w:val="en-US"/>
        </w:rPr>
      </w:pPr>
      <w:proofErr w:type="spellStart"/>
      <w:r w:rsidRPr="003C1AA8">
        <w:rPr>
          <w:rFonts w:ascii="Times New Roman" w:hAnsi="Times New Roman" w:cs="Times New Roman"/>
          <w:sz w:val="24"/>
          <w:szCs w:val="24"/>
          <w:lang w:val="en-US"/>
        </w:rPr>
        <w:t>Omelchenko</w:t>
      </w:r>
      <w:proofErr w:type="spellEnd"/>
      <w:r w:rsidRPr="003C1AA8">
        <w:rPr>
          <w:rFonts w:ascii="Times New Roman" w:hAnsi="Times New Roman" w:cs="Times New Roman"/>
          <w:sz w:val="24"/>
          <w:szCs w:val="24"/>
          <w:lang w:val="en-US"/>
        </w:rPr>
        <w:t xml:space="preserve"> A., </w:t>
      </w:r>
      <w:proofErr w:type="spellStart"/>
      <w:r w:rsidRPr="003C1AA8">
        <w:rPr>
          <w:rFonts w:ascii="Times New Roman" w:hAnsi="Times New Roman" w:cs="Times New Roman"/>
          <w:sz w:val="24"/>
          <w:szCs w:val="24"/>
          <w:lang w:val="en-US"/>
        </w:rPr>
        <w:t>Khrustalev</w:t>
      </w:r>
      <w:proofErr w:type="spellEnd"/>
      <w:r w:rsidRPr="003C1AA8">
        <w:rPr>
          <w:rFonts w:ascii="Times New Roman" w:hAnsi="Times New Roman" w:cs="Times New Roman"/>
          <w:sz w:val="24"/>
          <w:szCs w:val="24"/>
          <w:lang w:val="en-US"/>
        </w:rPr>
        <w:t xml:space="preserve"> E. (2018). The</w:t>
      </w:r>
      <w:r>
        <w:rPr>
          <w:rFonts w:ascii="Times New Roman" w:hAnsi="Times New Roman" w:cs="Times New Roman"/>
          <w:sz w:val="24"/>
          <w:szCs w:val="24"/>
          <w:lang w:val="en-US"/>
        </w:rPr>
        <w:t xml:space="preserve"> </w:t>
      </w:r>
      <w:r w:rsidRPr="003C1AA8">
        <w:rPr>
          <w:rFonts w:ascii="Times New Roman" w:hAnsi="Times New Roman" w:cs="Times New Roman"/>
          <w:sz w:val="24"/>
          <w:szCs w:val="24"/>
          <w:lang w:val="en-US"/>
        </w:rPr>
        <w:t>Model of Sanction Intensity Index: Evidence</w:t>
      </w:r>
      <w:r>
        <w:rPr>
          <w:rFonts w:ascii="Times New Roman" w:hAnsi="Times New Roman" w:cs="Times New Roman"/>
          <w:sz w:val="24"/>
          <w:szCs w:val="24"/>
          <w:lang w:val="en-US"/>
        </w:rPr>
        <w:t xml:space="preserve"> </w:t>
      </w:r>
      <w:r w:rsidRPr="003C1AA8">
        <w:rPr>
          <w:rFonts w:ascii="Times New Roman" w:hAnsi="Times New Roman" w:cs="Times New Roman"/>
          <w:sz w:val="24"/>
          <w:szCs w:val="24"/>
          <w:lang w:val="en-US"/>
        </w:rPr>
        <w:t>from Russia. National Interests: Priorities</w:t>
      </w:r>
      <w:r>
        <w:rPr>
          <w:rFonts w:ascii="Times New Roman" w:hAnsi="Times New Roman" w:cs="Times New Roman"/>
          <w:sz w:val="24"/>
          <w:szCs w:val="24"/>
          <w:lang w:val="en-US"/>
        </w:rPr>
        <w:t xml:space="preserve"> </w:t>
      </w:r>
      <w:r w:rsidRPr="003C1AA8">
        <w:rPr>
          <w:rFonts w:ascii="Times New Roman" w:hAnsi="Times New Roman" w:cs="Times New Roman"/>
          <w:sz w:val="24"/>
          <w:szCs w:val="24"/>
          <w:lang w:val="en-US"/>
        </w:rPr>
        <w:t>and Security, 14(1), 62–77 (in Russian).</w:t>
      </w:r>
    </w:p>
    <w:sectPr w:rsidR="005B06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31EC" w14:textId="77777777" w:rsidR="007741CF" w:rsidRDefault="007741CF" w:rsidP="00942893">
      <w:pPr>
        <w:spacing w:after="0" w:line="240" w:lineRule="auto"/>
      </w:pPr>
      <w:r>
        <w:separator/>
      </w:r>
    </w:p>
  </w:endnote>
  <w:endnote w:type="continuationSeparator" w:id="0">
    <w:p w14:paraId="2416171B" w14:textId="77777777" w:rsidR="007741CF" w:rsidRDefault="007741CF" w:rsidP="0094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0E7E" w14:textId="77777777" w:rsidR="007741CF" w:rsidRDefault="007741CF" w:rsidP="00942893">
      <w:pPr>
        <w:spacing w:after="0" w:line="240" w:lineRule="auto"/>
      </w:pPr>
      <w:r>
        <w:separator/>
      </w:r>
    </w:p>
  </w:footnote>
  <w:footnote w:type="continuationSeparator" w:id="0">
    <w:p w14:paraId="71D23138" w14:textId="77777777" w:rsidR="007741CF" w:rsidRDefault="007741CF" w:rsidP="00942893">
      <w:pPr>
        <w:spacing w:after="0" w:line="240" w:lineRule="auto"/>
      </w:pPr>
      <w:r>
        <w:continuationSeparator/>
      </w:r>
    </w:p>
  </w:footnote>
  <w:footnote w:id="1">
    <w:p w14:paraId="697D7F9F" w14:textId="2EE07BCB" w:rsidR="00CF4EFA" w:rsidRPr="00AB52F2" w:rsidRDefault="00CF4EFA">
      <w:pPr>
        <w:pStyle w:val="a9"/>
        <w:rPr>
          <w:lang w:val="en-US"/>
        </w:rPr>
      </w:pPr>
      <w:r>
        <w:rPr>
          <w:rStyle w:val="ab"/>
        </w:rPr>
        <w:footnoteRef/>
      </w:r>
      <w:r w:rsidRPr="00CF4EFA">
        <w:rPr>
          <w:lang w:val="en-US"/>
        </w:rPr>
        <w:t xml:space="preserve"> </w:t>
      </w:r>
      <w:r>
        <w:rPr>
          <w:lang w:val="en-US"/>
        </w:rPr>
        <w:t>PhD</w:t>
      </w:r>
      <w:r w:rsidRPr="00CF4EFA">
        <w:rPr>
          <w:lang w:val="en-US"/>
        </w:rPr>
        <w:t xml:space="preserve"> (</w:t>
      </w:r>
      <w:r>
        <w:rPr>
          <w:lang w:val="en-US"/>
        </w:rPr>
        <w:t>Physics</w:t>
      </w:r>
      <w:r w:rsidRPr="00CF4EFA">
        <w:rPr>
          <w:lang w:val="en-US"/>
        </w:rPr>
        <w:t xml:space="preserve"> </w:t>
      </w:r>
      <w:r>
        <w:rPr>
          <w:lang w:val="en-US"/>
        </w:rPr>
        <w:t>and</w:t>
      </w:r>
      <w:r w:rsidRPr="00CF4EFA">
        <w:rPr>
          <w:lang w:val="en-US"/>
        </w:rPr>
        <w:t xml:space="preserve"> </w:t>
      </w:r>
      <w:r>
        <w:rPr>
          <w:lang w:val="en-US"/>
        </w:rPr>
        <w:t>Mathematics</w:t>
      </w:r>
      <w:r w:rsidRPr="00CF4EFA">
        <w:rPr>
          <w:lang w:val="en-US"/>
        </w:rPr>
        <w:t>);</w:t>
      </w:r>
      <w:r>
        <w:rPr>
          <w:lang w:val="en-US"/>
        </w:rPr>
        <w:t xml:space="preserve"> Head of Global Economy Division, Economic Expert Group, Moscow; Senior researcher, Centre for Budget Analysis and Forecasting, Financial Research Institute</w:t>
      </w:r>
      <w:r w:rsidR="00AB52F2">
        <w:rPr>
          <w:lang w:val="en-US"/>
        </w:rPr>
        <w:t>, Moscow</w:t>
      </w:r>
    </w:p>
  </w:footnote>
  <w:footnote w:id="2">
    <w:p w14:paraId="30E4442E" w14:textId="10D64F23" w:rsidR="0010411D" w:rsidRPr="0010411D" w:rsidRDefault="0010411D">
      <w:pPr>
        <w:pStyle w:val="a9"/>
        <w:rPr>
          <w:lang w:val="en-US"/>
        </w:rPr>
      </w:pPr>
      <w:r>
        <w:rPr>
          <w:rStyle w:val="ab"/>
        </w:rPr>
        <w:footnoteRef/>
      </w:r>
      <w:r w:rsidRPr="0010411D">
        <w:rPr>
          <w:lang w:val="en-US"/>
        </w:rPr>
        <w:t xml:space="preserve"> </w:t>
      </w:r>
      <w:r>
        <w:rPr>
          <w:lang w:val="en-US"/>
        </w:rPr>
        <w:t>Period from January 2014 is used for comparability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30"/>
    <w:rsid w:val="00090CC4"/>
    <w:rsid w:val="000B3533"/>
    <w:rsid w:val="000D305C"/>
    <w:rsid w:val="000E4613"/>
    <w:rsid w:val="0010411D"/>
    <w:rsid w:val="0011627E"/>
    <w:rsid w:val="001274F4"/>
    <w:rsid w:val="00142F15"/>
    <w:rsid w:val="00171702"/>
    <w:rsid w:val="00173D51"/>
    <w:rsid w:val="00191B88"/>
    <w:rsid w:val="00205E35"/>
    <w:rsid w:val="00221B71"/>
    <w:rsid w:val="002A7200"/>
    <w:rsid w:val="002F7F66"/>
    <w:rsid w:val="003369C2"/>
    <w:rsid w:val="00360435"/>
    <w:rsid w:val="003C1AA8"/>
    <w:rsid w:val="0043071F"/>
    <w:rsid w:val="004315A5"/>
    <w:rsid w:val="00474699"/>
    <w:rsid w:val="00475FCD"/>
    <w:rsid w:val="004B3765"/>
    <w:rsid w:val="004D3797"/>
    <w:rsid w:val="004D79F8"/>
    <w:rsid w:val="00503995"/>
    <w:rsid w:val="00552ABE"/>
    <w:rsid w:val="00560645"/>
    <w:rsid w:val="005A4E6E"/>
    <w:rsid w:val="005B0606"/>
    <w:rsid w:val="005D078C"/>
    <w:rsid w:val="005D71F9"/>
    <w:rsid w:val="005E62C3"/>
    <w:rsid w:val="00621340"/>
    <w:rsid w:val="0065259E"/>
    <w:rsid w:val="00656AFD"/>
    <w:rsid w:val="006936DF"/>
    <w:rsid w:val="006B4809"/>
    <w:rsid w:val="006C7F73"/>
    <w:rsid w:val="00724836"/>
    <w:rsid w:val="0074001F"/>
    <w:rsid w:val="007741CF"/>
    <w:rsid w:val="007A01CA"/>
    <w:rsid w:val="007E20BC"/>
    <w:rsid w:val="007E321B"/>
    <w:rsid w:val="00805841"/>
    <w:rsid w:val="00847793"/>
    <w:rsid w:val="008719CA"/>
    <w:rsid w:val="008E00D0"/>
    <w:rsid w:val="0090259C"/>
    <w:rsid w:val="00927D87"/>
    <w:rsid w:val="00942893"/>
    <w:rsid w:val="00957A9E"/>
    <w:rsid w:val="009B4AD7"/>
    <w:rsid w:val="009C1F9B"/>
    <w:rsid w:val="009E6E47"/>
    <w:rsid w:val="00A0440D"/>
    <w:rsid w:val="00A137D5"/>
    <w:rsid w:val="00A31D32"/>
    <w:rsid w:val="00A60BFF"/>
    <w:rsid w:val="00A63EAF"/>
    <w:rsid w:val="00AB52F2"/>
    <w:rsid w:val="00AF0262"/>
    <w:rsid w:val="00AF1C17"/>
    <w:rsid w:val="00B42ABF"/>
    <w:rsid w:val="00B46686"/>
    <w:rsid w:val="00BA156E"/>
    <w:rsid w:val="00BB12CE"/>
    <w:rsid w:val="00BF143E"/>
    <w:rsid w:val="00BF4DBA"/>
    <w:rsid w:val="00C02443"/>
    <w:rsid w:val="00C06454"/>
    <w:rsid w:val="00C12E88"/>
    <w:rsid w:val="00C9090D"/>
    <w:rsid w:val="00CD4225"/>
    <w:rsid w:val="00CF4EFA"/>
    <w:rsid w:val="00D96430"/>
    <w:rsid w:val="00DA2E48"/>
    <w:rsid w:val="00DB2F46"/>
    <w:rsid w:val="00DD1388"/>
    <w:rsid w:val="00DF1DEC"/>
    <w:rsid w:val="00E27880"/>
    <w:rsid w:val="00E366DA"/>
    <w:rsid w:val="00E4090B"/>
    <w:rsid w:val="00E551B9"/>
    <w:rsid w:val="00E55F1F"/>
    <w:rsid w:val="00E70CAC"/>
    <w:rsid w:val="00E752D3"/>
    <w:rsid w:val="00ED67C7"/>
    <w:rsid w:val="00FE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906F"/>
  <w15:chartTrackingRefBased/>
  <w15:docId w15:val="{DC6FCC78-E95D-401B-9BC0-971F2B1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3EAF"/>
    <w:rPr>
      <w:color w:val="808080"/>
    </w:rPr>
  </w:style>
  <w:style w:type="paragraph" w:styleId="a4">
    <w:name w:val="header"/>
    <w:basedOn w:val="a"/>
    <w:link w:val="a5"/>
    <w:uiPriority w:val="99"/>
    <w:unhideWhenUsed/>
    <w:rsid w:val="009428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893"/>
  </w:style>
  <w:style w:type="paragraph" w:styleId="a6">
    <w:name w:val="footer"/>
    <w:basedOn w:val="a"/>
    <w:link w:val="a7"/>
    <w:uiPriority w:val="99"/>
    <w:unhideWhenUsed/>
    <w:rsid w:val="009428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2893"/>
  </w:style>
  <w:style w:type="table" w:styleId="a8">
    <w:name w:val="Table Grid"/>
    <w:basedOn w:val="a1"/>
    <w:uiPriority w:val="39"/>
    <w:rsid w:val="00E7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E70CAC"/>
    <w:pPr>
      <w:spacing w:after="0" w:line="240" w:lineRule="auto"/>
    </w:pPr>
    <w:rPr>
      <w:sz w:val="20"/>
      <w:szCs w:val="20"/>
    </w:rPr>
  </w:style>
  <w:style w:type="character" w:customStyle="1" w:styleId="aa">
    <w:name w:val="Текст сноски Знак"/>
    <w:basedOn w:val="a0"/>
    <w:link w:val="a9"/>
    <w:uiPriority w:val="99"/>
    <w:semiHidden/>
    <w:rsid w:val="00E70CAC"/>
    <w:rPr>
      <w:sz w:val="20"/>
      <w:szCs w:val="20"/>
    </w:rPr>
  </w:style>
  <w:style w:type="character" w:styleId="ab">
    <w:name w:val="footnote reference"/>
    <w:basedOn w:val="a0"/>
    <w:uiPriority w:val="99"/>
    <w:semiHidden/>
    <w:unhideWhenUsed/>
    <w:rsid w:val="00E70CAC"/>
    <w:rPr>
      <w:vertAlign w:val="superscript"/>
    </w:rPr>
  </w:style>
  <w:style w:type="paragraph" w:styleId="ac">
    <w:name w:val="Revision"/>
    <w:hidden/>
    <w:uiPriority w:val="99"/>
    <w:semiHidden/>
    <w:rsid w:val="00C02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E70D-FD4B-4A68-BEA6-D2BB0DE9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1099</Words>
  <Characters>6270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19</cp:revision>
  <dcterms:created xsi:type="dcterms:W3CDTF">2021-11-11T11:21:00Z</dcterms:created>
  <dcterms:modified xsi:type="dcterms:W3CDTF">2021-11-11T13:28:00Z</dcterms:modified>
</cp:coreProperties>
</file>