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ED0D" w14:textId="76CF4EE6" w:rsidR="00F943BC" w:rsidRDefault="004250A9" w:rsidP="004250A9">
      <w:pPr>
        <w:spacing w:after="0" w:line="360" w:lineRule="auto"/>
        <w:jc w:val="both"/>
        <w:rPr>
          <w:rFonts w:ascii="Times New Roman" w:hAnsi="Times New Roman" w:cs="Times New Roman"/>
          <w:sz w:val="28"/>
          <w:szCs w:val="28"/>
        </w:rPr>
      </w:pPr>
      <w:r w:rsidRPr="004250A9">
        <w:rPr>
          <w:rFonts w:ascii="Times New Roman" w:hAnsi="Times New Roman" w:cs="Times New Roman"/>
          <w:b/>
          <w:bCs/>
          <w:sz w:val="28"/>
          <w:szCs w:val="28"/>
        </w:rPr>
        <w:t>Тема доклада:</w:t>
      </w:r>
      <w:r>
        <w:rPr>
          <w:rFonts w:ascii="Times New Roman" w:hAnsi="Times New Roman" w:cs="Times New Roman"/>
          <w:sz w:val="28"/>
          <w:szCs w:val="28"/>
        </w:rPr>
        <w:t xml:space="preserve"> </w:t>
      </w:r>
    </w:p>
    <w:p w14:paraId="0A12CFB5" w14:textId="0F1D40BD" w:rsidR="008A21CD" w:rsidRDefault="008A21CD" w:rsidP="004250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конкуренции на розничном рынке </w:t>
      </w:r>
      <w:r w:rsidRPr="00722FA2">
        <w:rPr>
          <w:rFonts w:ascii="Times New Roman" w:hAnsi="Times New Roman" w:cs="Times New Roman"/>
          <w:sz w:val="28"/>
          <w:szCs w:val="28"/>
        </w:rPr>
        <w:t>нефтепродуктов</w:t>
      </w:r>
      <w:r>
        <w:rPr>
          <w:rFonts w:ascii="Times New Roman" w:hAnsi="Times New Roman" w:cs="Times New Roman"/>
          <w:sz w:val="28"/>
          <w:szCs w:val="28"/>
        </w:rPr>
        <w:t xml:space="preserve"> в РФ</w:t>
      </w:r>
      <w:r w:rsidR="00252C3A">
        <w:rPr>
          <w:rFonts w:ascii="Times New Roman" w:hAnsi="Times New Roman" w:cs="Times New Roman"/>
          <w:sz w:val="28"/>
          <w:szCs w:val="28"/>
        </w:rPr>
        <w:t xml:space="preserve">: влияние </w:t>
      </w:r>
      <w:r w:rsidR="009E2645">
        <w:rPr>
          <w:rFonts w:ascii="Times New Roman" w:hAnsi="Times New Roman" w:cs="Times New Roman"/>
          <w:sz w:val="28"/>
          <w:szCs w:val="28"/>
        </w:rPr>
        <w:t xml:space="preserve">размещения и </w:t>
      </w:r>
      <w:r w:rsidR="00F97188">
        <w:rPr>
          <w:rFonts w:ascii="Times New Roman" w:hAnsi="Times New Roman" w:cs="Times New Roman"/>
          <w:sz w:val="28"/>
          <w:szCs w:val="28"/>
        </w:rPr>
        <w:t>принадлежности НПЗ ВИНК</w:t>
      </w:r>
    </w:p>
    <w:p w14:paraId="5BCD6605" w14:textId="130B457B" w:rsidR="00B177B1" w:rsidRPr="00B177B1" w:rsidRDefault="004250A9" w:rsidP="004250A9">
      <w:pPr>
        <w:spacing w:after="0" w:line="360" w:lineRule="auto"/>
        <w:jc w:val="both"/>
        <w:rPr>
          <w:rFonts w:ascii="Times New Roman" w:hAnsi="Times New Roman" w:cs="Times New Roman"/>
          <w:sz w:val="28"/>
          <w:szCs w:val="28"/>
        </w:rPr>
      </w:pPr>
      <w:r w:rsidRPr="004250A9">
        <w:rPr>
          <w:rFonts w:ascii="Times New Roman" w:hAnsi="Times New Roman" w:cs="Times New Roman"/>
          <w:b/>
          <w:bCs/>
          <w:sz w:val="28"/>
          <w:szCs w:val="28"/>
        </w:rPr>
        <w:t>И</w:t>
      </w:r>
      <w:r w:rsidR="00B177B1" w:rsidRPr="00B177B1">
        <w:rPr>
          <w:rFonts w:ascii="Times New Roman" w:hAnsi="Times New Roman" w:cs="Times New Roman"/>
          <w:b/>
          <w:bCs/>
          <w:sz w:val="28"/>
          <w:szCs w:val="28"/>
        </w:rPr>
        <w:t>нформаци</w:t>
      </w:r>
      <w:r w:rsidR="00B177B1" w:rsidRPr="004250A9">
        <w:rPr>
          <w:rFonts w:ascii="Times New Roman" w:hAnsi="Times New Roman" w:cs="Times New Roman"/>
          <w:b/>
          <w:bCs/>
          <w:sz w:val="28"/>
          <w:szCs w:val="28"/>
        </w:rPr>
        <w:t>я</w:t>
      </w:r>
      <w:r w:rsidR="00B177B1" w:rsidRPr="00B177B1">
        <w:rPr>
          <w:rFonts w:ascii="Times New Roman" w:hAnsi="Times New Roman" w:cs="Times New Roman"/>
          <w:b/>
          <w:bCs/>
          <w:sz w:val="28"/>
          <w:szCs w:val="28"/>
        </w:rPr>
        <w:t xml:space="preserve"> о заявителе</w:t>
      </w:r>
      <w:r w:rsidR="00B177B1" w:rsidRPr="004250A9">
        <w:rPr>
          <w:rFonts w:ascii="Times New Roman" w:hAnsi="Times New Roman" w:cs="Times New Roman"/>
          <w:b/>
          <w:bCs/>
          <w:sz w:val="28"/>
          <w:szCs w:val="28"/>
        </w:rPr>
        <w:t>:</w:t>
      </w:r>
      <w:r w:rsidR="00B177B1" w:rsidRPr="004250A9">
        <w:rPr>
          <w:rFonts w:ascii="Times New Roman" w:hAnsi="Times New Roman" w:cs="Times New Roman"/>
          <w:sz w:val="28"/>
          <w:szCs w:val="28"/>
        </w:rPr>
        <w:t xml:space="preserve"> Галеева Екатерина Андреевна, РАНХиГС</w:t>
      </w:r>
      <w:r w:rsidR="00B177B1" w:rsidRPr="00B177B1">
        <w:rPr>
          <w:rFonts w:ascii="Times New Roman" w:hAnsi="Times New Roman" w:cs="Times New Roman"/>
          <w:sz w:val="28"/>
          <w:szCs w:val="28"/>
        </w:rPr>
        <w:t xml:space="preserve"> </w:t>
      </w:r>
    </w:p>
    <w:p w14:paraId="71CFB4D7" w14:textId="339B3227" w:rsidR="00B177B1" w:rsidRPr="00B177B1" w:rsidRDefault="004250A9" w:rsidP="004250A9">
      <w:pPr>
        <w:spacing w:after="0" w:line="360" w:lineRule="auto"/>
        <w:jc w:val="both"/>
        <w:rPr>
          <w:rFonts w:ascii="Times New Roman" w:hAnsi="Times New Roman" w:cs="Times New Roman"/>
          <w:sz w:val="28"/>
          <w:szCs w:val="28"/>
        </w:rPr>
      </w:pPr>
      <w:r w:rsidRPr="004250A9">
        <w:rPr>
          <w:rFonts w:ascii="Times New Roman" w:hAnsi="Times New Roman" w:cs="Times New Roman"/>
          <w:b/>
          <w:bCs/>
          <w:sz w:val="28"/>
          <w:szCs w:val="28"/>
        </w:rPr>
        <w:t>Т</w:t>
      </w:r>
      <w:r w:rsidR="00B177B1" w:rsidRPr="00B177B1">
        <w:rPr>
          <w:rFonts w:ascii="Times New Roman" w:hAnsi="Times New Roman" w:cs="Times New Roman"/>
          <w:b/>
          <w:bCs/>
          <w:sz w:val="28"/>
          <w:szCs w:val="28"/>
        </w:rPr>
        <w:t>ематическое направление</w:t>
      </w:r>
      <w:r w:rsidR="00B177B1" w:rsidRPr="004250A9">
        <w:rPr>
          <w:rFonts w:ascii="Times New Roman" w:hAnsi="Times New Roman" w:cs="Times New Roman"/>
          <w:b/>
          <w:bCs/>
          <w:sz w:val="28"/>
          <w:szCs w:val="28"/>
        </w:rPr>
        <w:t>:</w:t>
      </w:r>
      <w:r w:rsidR="00B177B1" w:rsidRPr="004250A9">
        <w:rPr>
          <w:rFonts w:ascii="Times New Roman" w:hAnsi="Times New Roman" w:cs="Times New Roman"/>
          <w:sz w:val="28"/>
          <w:szCs w:val="28"/>
        </w:rPr>
        <w:t xml:space="preserve"> Фирмы и рынки</w:t>
      </w:r>
    </w:p>
    <w:p w14:paraId="486F45C3" w14:textId="77777777" w:rsidR="003D2CC5" w:rsidRDefault="004250A9" w:rsidP="003D2CC5">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Аннотация</w:t>
      </w:r>
      <w:r w:rsidRPr="004250A9">
        <w:rPr>
          <w:rFonts w:ascii="Times New Roman" w:hAnsi="Times New Roman" w:cs="Times New Roman"/>
          <w:b/>
          <w:bCs/>
          <w:sz w:val="28"/>
          <w:szCs w:val="28"/>
        </w:rPr>
        <w:t>:</w:t>
      </w:r>
      <w:r w:rsidRPr="004250A9">
        <w:rPr>
          <w:rFonts w:ascii="Times New Roman" w:hAnsi="Times New Roman" w:cs="Times New Roman"/>
          <w:sz w:val="28"/>
          <w:szCs w:val="28"/>
        </w:rPr>
        <w:t xml:space="preserve"> </w:t>
      </w:r>
    </w:p>
    <w:p w14:paraId="2D0609AD" w14:textId="329CE7A4" w:rsidR="00046471" w:rsidRPr="003D2CC5" w:rsidRDefault="00046471" w:rsidP="003D2CC5">
      <w:pPr>
        <w:spacing w:after="0" w:line="360" w:lineRule="auto"/>
        <w:ind w:firstLine="709"/>
        <w:jc w:val="both"/>
        <w:rPr>
          <w:rFonts w:ascii="Times New Roman" w:hAnsi="Times New Roman" w:cs="Times New Roman"/>
          <w:sz w:val="28"/>
          <w:szCs w:val="28"/>
        </w:rPr>
      </w:pPr>
      <w:r w:rsidRPr="00C07ED6">
        <w:rPr>
          <w:rFonts w:ascii="Times New Roman" w:eastAsia="Calibri" w:hAnsi="Times New Roman" w:cs="Times New Roman"/>
          <w:sz w:val="28"/>
          <w:szCs w:val="28"/>
        </w:rPr>
        <w:t>В структуре ТЭК розничный рынок нефтепродуктов имеет особое значение, поскольку повышение цен на нефтепродукты приводит к увеличению транспортных издержек и, соответственно, цен на промышленную продукцию, что ведет к росту издержек, сокращению совокупного предложения и возникновению инфляции издержек. Инфляция издержек ведет к стагфляции.</w:t>
      </w:r>
    </w:p>
    <w:p w14:paraId="7B0C8BA3" w14:textId="39C74F9C" w:rsidR="00C07ED6" w:rsidRDefault="00BD6015" w:rsidP="00C07ED6">
      <w:pPr>
        <w:widowControl w:val="0"/>
        <w:tabs>
          <w:tab w:val="left" w:pos="180"/>
          <w:tab w:val="left" w:pos="360"/>
          <w:tab w:val="left" w:pos="108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C07ED6" w:rsidRPr="00C07ED6">
        <w:rPr>
          <w:rFonts w:ascii="Times New Roman" w:eastAsia="Calibri" w:hAnsi="Times New Roman" w:cs="Times New Roman"/>
          <w:sz w:val="28"/>
          <w:szCs w:val="28"/>
        </w:rPr>
        <w:t>оссийский рынок нефтепродуктов обладает существенной неоднородностью в пространственном (региональном) разрезе. Предположение о наличии таких различий основано на том, что пространственное распределение нефтеперерабатывающих заводов, их структура собственности, расположение АЗС крупнейших игроков и т.д. существенным образом отличается от равномерного, что потенциально может являться причиной наличия условий для доминирования той или иной фирмы (или группы фирм) в ряде регионов.</w:t>
      </w:r>
    </w:p>
    <w:p w14:paraId="3C830EE9" w14:textId="77777777" w:rsidR="00301B62" w:rsidRPr="00234024" w:rsidRDefault="00301B62" w:rsidP="00301B62">
      <w:pPr>
        <w:widowControl w:val="0"/>
        <w:tabs>
          <w:tab w:val="left" w:pos="180"/>
          <w:tab w:val="left" w:pos="360"/>
          <w:tab w:val="left" w:pos="108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234024">
        <w:rPr>
          <w:rFonts w:ascii="Times New Roman" w:eastAsia="Calibri" w:hAnsi="Times New Roman" w:cs="Times New Roman"/>
          <w:sz w:val="28"/>
          <w:szCs w:val="28"/>
        </w:rPr>
        <w:t xml:space="preserve">Работы, посвящённые исследованию розничного рынка нефтепродуктов в целом и бензина в частности, можно разделить на две категории (Eckert, 2013). С одной стороны, один из распространенных подходов к исследованию конкурентного поведения фирм основывается на оценке факторов, влияющих на пространственную дифференциацию (на расстояние между фирмами). Такими факторами могут являться количество фирм на рынке или их плотность. С другой стороны, в литературе широко представлен анализ факторов, влияющих на розничную цену, дисперсию цен или разницу между розничной ценой и соответствующими издержками. Начиная со второй половины 1990-х гг. изучение взаимосвязи конкуренции на рынке </w:t>
      </w:r>
      <w:r w:rsidRPr="00234024">
        <w:rPr>
          <w:rFonts w:ascii="Times New Roman" w:eastAsia="Calibri" w:hAnsi="Times New Roman" w:cs="Times New Roman"/>
          <w:sz w:val="28"/>
          <w:szCs w:val="28"/>
        </w:rPr>
        <w:lastRenderedPageBreak/>
        <w:t>нефтепродуктов и уровня розничных цен представляет собой актуальную задачу в области экономики отраслевых рынков (Pinkse, Slade, 1998). Тем не менее, подобные исследования, посвящённые анализу российского рынка нефтепродуктов, встречаются редко. Существенным недостатком таким работ является использование опросы предпринимателей как ключевого источника данных.</w:t>
      </w:r>
    </w:p>
    <w:p w14:paraId="5BAE0338" w14:textId="2AD18FBB" w:rsidR="00046471" w:rsidRPr="00C07ED6" w:rsidRDefault="00046471" w:rsidP="00C07ED6">
      <w:pPr>
        <w:widowControl w:val="0"/>
        <w:tabs>
          <w:tab w:val="left" w:pos="180"/>
          <w:tab w:val="left" w:pos="360"/>
          <w:tab w:val="left" w:pos="108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07ED6">
        <w:rPr>
          <w:rFonts w:ascii="Times New Roman" w:eastAsia="Calibri" w:hAnsi="Times New Roman" w:cs="Times New Roman"/>
          <w:sz w:val="28"/>
          <w:szCs w:val="28"/>
        </w:rPr>
        <w:t>Проведенное исследование основывается на анализе с помощью методов пространственной эконометрики базы статистических данных о ценах на топливо и характеристиках АЗС: с января 2019 года в ежедневном режиме происходит сбор цен на нефтепродукты для 80% АЗС РФ.</w:t>
      </w:r>
    </w:p>
    <w:p w14:paraId="3DBE5F39" w14:textId="2F439B33" w:rsidR="00046471" w:rsidRPr="00C07ED6" w:rsidRDefault="00046471" w:rsidP="00C07ED6">
      <w:pPr>
        <w:widowControl w:val="0"/>
        <w:tabs>
          <w:tab w:val="left" w:pos="180"/>
          <w:tab w:val="left" w:pos="360"/>
          <w:tab w:val="left" w:pos="108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07ED6">
        <w:rPr>
          <w:rFonts w:ascii="Times New Roman" w:eastAsia="Calibri" w:hAnsi="Times New Roman" w:cs="Times New Roman"/>
          <w:sz w:val="28"/>
          <w:szCs w:val="28"/>
        </w:rPr>
        <w:t xml:space="preserve">В </w:t>
      </w:r>
      <w:r w:rsidR="00F86354">
        <w:rPr>
          <w:rFonts w:ascii="Times New Roman" w:eastAsia="Calibri" w:hAnsi="Times New Roman" w:cs="Times New Roman"/>
          <w:sz w:val="28"/>
          <w:szCs w:val="28"/>
        </w:rPr>
        <w:t xml:space="preserve">соответствии с результатами, в </w:t>
      </w:r>
      <w:r w:rsidRPr="00C07ED6">
        <w:rPr>
          <w:rFonts w:ascii="Times New Roman" w:eastAsia="Calibri" w:hAnsi="Times New Roman" w:cs="Times New Roman"/>
          <w:sz w:val="28"/>
          <w:szCs w:val="28"/>
        </w:rPr>
        <w:t>большинстве регионов РФ рынки нефтепродуктов являются высококонцентрированными. Доминирование на рынке ВИНК делает возможным возникновение следующих ситуаций:</w:t>
      </w:r>
    </w:p>
    <w:p w14:paraId="4B57EC6B" w14:textId="77777777" w:rsidR="00046471" w:rsidRPr="008F10E7" w:rsidRDefault="00046471" w:rsidP="00046471">
      <w:pPr>
        <w:numPr>
          <w:ilvl w:val="0"/>
          <w:numId w:val="8"/>
        </w:numPr>
        <w:suppressAutoHyphens/>
        <w:spacing w:after="0" w:line="360" w:lineRule="auto"/>
        <w:contextualSpacing/>
        <w:jc w:val="both"/>
        <w:rPr>
          <w:rFonts w:ascii="Times New Roman" w:eastAsia="Times New Roman" w:hAnsi="Times New Roman" w:cs="Times New Roman"/>
          <w:sz w:val="28"/>
          <w:szCs w:val="28"/>
          <w:lang w:eastAsia="ru-RU"/>
        </w:rPr>
      </w:pPr>
      <w:r w:rsidRPr="008F10E7">
        <w:rPr>
          <w:rFonts w:ascii="Times New Roman" w:eastAsia="Times New Roman" w:hAnsi="Times New Roman" w:cs="Times New Roman"/>
          <w:sz w:val="28"/>
          <w:szCs w:val="28"/>
          <w:lang w:eastAsia="ru-RU"/>
        </w:rPr>
        <w:t>ВИНК могут увеличить поставки на внешние рынки по конкурентным ценам, таким образом повышая цены на внутреннем рынке;</w:t>
      </w:r>
    </w:p>
    <w:p w14:paraId="07158F21" w14:textId="77777777" w:rsidR="00046471" w:rsidRPr="008F10E7" w:rsidRDefault="00046471" w:rsidP="00046471">
      <w:pPr>
        <w:numPr>
          <w:ilvl w:val="0"/>
          <w:numId w:val="8"/>
        </w:numPr>
        <w:suppressAutoHyphens/>
        <w:spacing w:after="0" w:line="360" w:lineRule="auto"/>
        <w:contextualSpacing/>
        <w:jc w:val="both"/>
        <w:rPr>
          <w:rFonts w:ascii="Times New Roman" w:eastAsia="Times New Roman" w:hAnsi="Times New Roman" w:cs="Times New Roman"/>
          <w:sz w:val="28"/>
          <w:szCs w:val="28"/>
          <w:lang w:eastAsia="ru-RU"/>
        </w:rPr>
      </w:pPr>
      <w:r w:rsidRPr="008F10E7">
        <w:rPr>
          <w:rFonts w:ascii="Times New Roman" w:eastAsia="Times New Roman" w:hAnsi="Times New Roman" w:cs="Times New Roman"/>
          <w:sz w:val="28"/>
          <w:szCs w:val="28"/>
          <w:lang w:eastAsia="ru-RU"/>
        </w:rPr>
        <w:t>ВИНК имеют возможность завышать цену при крупной и мелкой оптовой реализации и занижать – в розничной торговле;</w:t>
      </w:r>
    </w:p>
    <w:p w14:paraId="612098B0" w14:textId="77777777" w:rsidR="00046471" w:rsidRPr="008F10E7" w:rsidRDefault="00046471" w:rsidP="00046471">
      <w:pPr>
        <w:numPr>
          <w:ilvl w:val="0"/>
          <w:numId w:val="8"/>
        </w:numPr>
        <w:suppressAutoHyphens/>
        <w:spacing w:after="0" w:line="360" w:lineRule="auto"/>
        <w:contextualSpacing/>
        <w:jc w:val="both"/>
        <w:rPr>
          <w:rFonts w:ascii="Times New Roman" w:eastAsia="Times New Roman" w:hAnsi="Times New Roman" w:cs="Times New Roman"/>
          <w:sz w:val="28"/>
          <w:szCs w:val="28"/>
          <w:lang w:eastAsia="ru-RU"/>
        </w:rPr>
      </w:pPr>
      <w:r w:rsidRPr="008F10E7">
        <w:rPr>
          <w:rFonts w:ascii="Times New Roman" w:eastAsia="Times New Roman" w:hAnsi="Times New Roman" w:cs="Times New Roman"/>
          <w:sz w:val="28"/>
          <w:szCs w:val="28"/>
          <w:lang w:eastAsia="ru-RU"/>
        </w:rPr>
        <w:t xml:space="preserve">потенциальная возможность для ценового сговора между различными ВИНК. </w:t>
      </w:r>
    </w:p>
    <w:p w14:paraId="3A8E7E84" w14:textId="77777777" w:rsidR="00046471" w:rsidRPr="008F10E7" w:rsidRDefault="00046471" w:rsidP="00046471">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8F10E7">
        <w:rPr>
          <w:rFonts w:ascii="Times New Roman" w:eastAsia="Times New Roman" w:hAnsi="Times New Roman" w:cs="Times New Roman"/>
          <w:sz w:val="28"/>
          <w:szCs w:val="28"/>
          <w:lang w:eastAsia="ru-RU"/>
        </w:rPr>
        <w:t>Таким образом, появляется возможность злоупотребления доминирующим положением и условия для монополизации рынка, что, как правило, ведет к потерям общественного благосостояния.</w:t>
      </w:r>
    </w:p>
    <w:p w14:paraId="07985AFC" w14:textId="77777777" w:rsidR="00046471" w:rsidRPr="008F10E7" w:rsidRDefault="00046471" w:rsidP="00046471">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8F10E7">
        <w:rPr>
          <w:rFonts w:ascii="Times New Roman" w:eastAsia="Times New Roman" w:hAnsi="Times New Roman" w:cs="Times New Roman"/>
          <w:sz w:val="28"/>
          <w:szCs w:val="28"/>
          <w:lang w:eastAsia="ru-RU"/>
        </w:rPr>
        <w:t>Цены на нефтепродукты являются результирующими факторов спроса; факторов издержек ВИНК; факторов предложения независимых фирм; а также специфических факторов отдельных АЗС, которыми выступают качественные характеристики и географические параметры АЗС.</w:t>
      </w:r>
    </w:p>
    <w:p w14:paraId="7AE71E88" w14:textId="77777777" w:rsidR="00046471" w:rsidRPr="008F10E7" w:rsidRDefault="00046471" w:rsidP="00046471">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8F10E7">
        <w:rPr>
          <w:rFonts w:ascii="Times New Roman" w:eastAsia="Times New Roman" w:hAnsi="Times New Roman" w:cs="Times New Roman"/>
          <w:sz w:val="28"/>
          <w:szCs w:val="28"/>
          <w:lang w:eastAsia="ru-RU"/>
        </w:rPr>
        <w:t xml:space="preserve">Уровень цен на топливо и их динамика различаются от региона к региону и связаны в том числе с близостью расположения нефтеперерабатывающих заводов (НПЗ). Однако, размещение НПЗ не связано </w:t>
      </w:r>
      <w:r w:rsidRPr="008F10E7">
        <w:rPr>
          <w:rFonts w:ascii="Times New Roman" w:eastAsia="Times New Roman" w:hAnsi="Times New Roman" w:cs="Times New Roman"/>
          <w:sz w:val="28"/>
          <w:szCs w:val="28"/>
          <w:lang w:eastAsia="ru-RU"/>
        </w:rPr>
        <w:lastRenderedPageBreak/>
        <w:t xml:space="preserve">с объемами потребления топлива в том или ином регионе, т.е. предприятия нефтепереработки не тяготеют непременно к основным рынкам сбыта. </w:t>
      </w:r>
    </w:p>
    <w:p w14:paraId="0F8B2EF6" w14:textId="77777777" w:rsidR="00046471" w:rsidRPr="008F10E7" w:rsidRDefault="00046471" w:rsidP="00046471">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8F10E7">
        <w:rPr>
          <w:rFonts w:ascii="Times New Roman" w:eastAsia="Times New Roman" w:hAnsi="Times New Roman" w:cs="Times New Roman"/>
          <w:sz w:val="28"/>
          <w:szCs w:val="28"/>
          <w:lang w:eastAsia="ru-RU"/>
        </w:rPr>
        <w:t xml:space="preserve">Чем больше расстояние до ближайшего НПЗ, тем выше концентрация на рынке (степень монополизированности) и в среднем меньше количество АЗС в регионе, что объясняется более высокими затратами на транспортировку нефтепродуктов. В регионах с большей концентрацией в отрасли амплитуда изменения цен значительно больше, чем в регионах с более низкой концентрацией. То есть на более конкурентных рынках (если границы рынка приравнивать границам региона) степень дискриминации и дисперсия цен ниже, чем на более монополизированных (менее конкурентных). </w:t>
      </w:r>
    </w:p>
    <w:p w14:paraId="3E3D6110" w14:textId="3E47891B" w:rsidR="00046471" w:rsidRPr="00A67EC5" w:rsidRDefault="00046471" w:rsidP="00BC1419">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C733F2">
        <w:rPr>
          <w:rFonts w:ascii="Times New Roman" w:eastAsia="Times New Roman" w:hAnsi="Times New Roman" w:cs="Times New Roman"/>
          <w:sz w:val="28"/>
          <w:szCs w:val="28"/>
          <w:lang w:eastAsia="ru-RU"/>
        </w:rPr>
        <w:t xml:space="preserve">Характеристики АЗС оказывают влияние на цены нефтепродуктов. Наличие платных дополнительных услуг на АЗС позволяет фирме устанавливать более низкую цену. Наличие бесплатных дополнительных услуг на АЗС позволяет фирме устанавливать более высокую цену. </w:t>
      </w:r>
      <w:r w:rsidRPr="00A67EC5">
        <w:rPr>
          <w:rFonts w:ascii="Times New Roman" w:eastAsia="Times New Roman" w:hAnsi="Times New Roman" w:cs="Times New Roman"/>
          <w:sz w:val="28"/>
          <w:szCs w:val="28"/>
          <w:lang w:eastAsia="ru-RU"/>
        </w:rPr>
        <w:t>Для некоторых регионов значимой детерминантой цен на нефтепродукты является количество конкурентов: цена уменьшается при увеличении количества АЗС-конкурентов в заданном радиусе.</w:t>
      </w:r>
    </w:p>
    <w:p w14:paraId="53C182F2" w14:textId="06D562D7" w:rsidR="00046471" w:rsidRDefault="00046471" w:rsidP="00046471">
      <w:pPr>
        <w:tabs>
          <w:tab w:val="num" w:pos="720"/>
        </w:tabs>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062792">
        <w:rPr>
          <w:rFonts w:ascii="Times New Roman" w:eastAsia="Times New Roman" w:hAnsi="Times New Roman" w:cs="Times New Roman"/>
          <w:sz w:val="28"/>
          <w:szCs w:val="28"/>
          <w:lang w:eastAsia="ru-RU"/>
        </w:rPr>
        <w:t xml:space="preserve">В большинстве субъектов РФ выражено преобладание одной из ВИНК. </w:t>
      </w:r>
      <w:r w:rsidR="00021DA1" w:rsidRPr="00062792">
        <w:rPr>
          <w:rFonts w:ascii="Times New Roman" w:eastAsia="Times New Roman" w:hAnsi="Times New Roman" w:cs="Times New Roman"/>
          <w:sz w:val="28"/>
          <w:szCs w:val="28"/>
          <w:lang w:eastAsia="ru-RU"/>
        </w:rPr>
        <w:t>Выделяются более</w:t>
      </w:r>
      <w:r w:rsidRPr="00062792">
        <w:rPr>
          <w:rFonts w:ascii="Times New Roman" w:eastAsia="Times New Roman" w:hAnsi="Times New Roman" w:cs="Times New Roman"/>
          <w:sz w:val="28"/>
          <w:szCs w:val="28"/>
          <w:lang w:eastAsia="ru-RU"/>
        </w:rPr>
        <w:t xml:space="preserve"> дороги</w:t>
      </w:r>
      <w:r w:rsidR="00021DA1" w:rsidRPr="00062792">
        <w:rPr>
          <w:rFonts w:ascii="Times New Roman" w:eastAsia="Times New Roman" w:hAnsi="Times New Roman" w:cs="Times New Roman"/>
          <w:sz w:val="28"/>
          <w:szCs w:val="28"/>
          <w:lang w:eastAsia="ru-RU"/>
        </w:rPr>
        <w:t>е</w:t>
      </w:r>
      <w:r w:rsidRPr="00062792">
        <w:rPr>
          <w:rFonts w:ascii="Times New Roman" w:eastAsia="Times New Roman" w:hAnsi="Times New Roman" w:cs="Times New Roman"/>
          <w:sz w:val="28"/>
          <w:szCs w:val="28"/>
          <w:lang w:eastAsia="ru-RU"/>
        </w:rPr>
        <w:t xml:space="preserve"> бренд</w:t>
      </w:r>
      <w:r w:rsidR="00021DA1" w:rsidRPr="00062792">
        <w:rPr>
          <w:rFonts w:ascii="Times New Roman" w:eastAsia="Times New Roman" w:hAnsi="Times New Roman" w:cs="Times New Roman"/>
          <w:sz w:val="28"/>
          <w:szCs w:val="28"/>
          <w:lang w:eastAsia="ru-RU"/>
        </w:rPr>
        <w:t>ы</w:t>
      </w:r>
      <w:r w:rsidRPr="00062792">
        <w:rPr>
          <w:rFonts w:ascii="Times New Roman" w:eastAsia="Times New Roman" w:hAnsi="Times New Roman" w:cs="Times New Roman"/>
          <w:sz w:val="28"/>
          <w:szCs w:val="28"/>
          <w:lang w:eastAsia="ru-RU"/>
        </w:rPr>
        <w:t xml:space="preserve">, которые, вероятно, имеют высокую лояльность со стороны своих покупателей. Кроме того, АЗС, которые конкурируют с недорогими брендами или с АЗС без бренда, имеют тенденцию устанавливать более низкую цену. А АЗС, которые конкурируют со станциями </w:t>
      </w:r>
      <w:r w:rsidR="00851C46" w:rsidRPr="00062792">
        <w:rPr>
          <w:rFonts w:ascii="Times New Roman" w:eastAsia="Times New Roman" w:hAnsi="Times New Roman" w:cs="Times New Roman"/>
          <w:sz w:val="28"/>
          <w:szCs w:val="28"/>
          <w:lang w:eastAsia="ru-RU"/>
        </w:rPr>
        <w:t>дорогих</w:t>
      </w:r>
      <w:r w:rsidRPr="00062792">
        <w:rPr>
          <w:rFonts w:ascii="Times New Roman" w:eastAsia="Times New Roman" w:hAnsi="Times New Roman" w:cs="Times New Roman"/>
          <w:sz w:val="28"/>
          <w:szCs w:val="28"/>
          <w:lang w:eastAsia="ru-RU"/>
        </w:rPr>
        <w:t xml:space="preserve"> брендов, будут устанавливать более высокую цену. </w:t>
      </w:r>
    </w:p>
    <w:p w14:paraId="433D7DDD" w14:textId="7D0FA0BE" w:rsidR="00D72D49" w:rsidRPr="009D754F" w:rsidRDefault="00D72D49" w:rsidP="00FA72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исследовании анализируется влияние на розничные цены </w:t>
      </w:r>
      <w:r w:rsidRPr="009D754F">
        <w:rPr>
          <w:rFonts w:ascii="Times New Roman" w:eastAsia="Times New Roman" w:hAnsi="Times New Roman" w:cs="Times New Roman"/>
          <w:sz w:val="28"/>
          <w:szCs w:val="28"/>
          <w:lang w:eastAsia="ru-RU"/>
        </w:rPr>
        <w:t>бензина</w:t>
      </w:r>
      <w:r w:rsidR="00204923" w:rsidRPr="009D754F">
        <w:rPr>
          <w:rFonts w:ascii="Times New Roman" w:eastAsia="Times New Roman" w:hAnsi="Times New Roman" w:cs="Times New Roman"/>
          <w:sz w:val="28"/>
          <w:szCs w:val="28"/>
          <w:lang w:eastAsia="ru-RU"/>
        </w:rPr>
        <w:t xml:space="preserve"> </w:t>
      </w:r>
      <w:r w:rsidR="00204923" w:rsidRPr="009D754F">
        <w:rPr>
          <w:rFonts w:ascii="Times New Roman" w:hAnsi="Times New Roman" w:cs="Times New Roman"/>
          <w:sz w:val="28"/>
          <w:szCs w:val="28"/>
        </w:rPr>
        <w:t>особенностей размещения и брендовой принадлежности производственных мощностей (НПЗ)</w:t>
      </w:r>
      <w:r w:rsidR="00FA72A5">
        <w:rPr>
          <w:rFonts w:ascii="Times New Roman" w:hAnsi="Times New Roman" w:cs="Times New Roman"/>
          <w:sz w:val="28"/>
          <w:szCs w:val="28"/>
        </w:rPr>
        <w:t>.</w:t>
      </w:r>
    </w:p>
    <w:p w14:paraId="647A75CF" w14:textId="47EC1907" w:rsidR="00046471" w:rsidRPr="009D754F" w:rsidRDefault="00046471" w:rsidP="00046471">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9D754F">
        <w:rPr>
          <w:rFonts w:ascii="Times New Roman" w:eastAsia="Times New Roman" w:hAnsi="Times New Roman" w:cs="Times New Roman"/>
          <w:sz w:val="28"/>
          <w:szCs w:val="28"/>
          <w:lang w:eastAsia="ru-RU"/>
        </w:rPr>
        <w:t>Ранее неоднократно отмечались случаи ценового сговора на рынке</w:t>
      </w:r>
      <w:r w:rsidR="00FA72A5">
        <w:rPr>
          <w:rFonts w:ascii="Times New Roman" w:eastAsia="Times New Roman" w:hAnsi="Times New Roman" w:cs="Times New Roman"/>
          <w:sz w:val="28"/>
          <w:szCs w:val="28"/>
          <w:lang w:eastAsia="ru-RU"/>
        </w:rPr>
        <w:t xml:space="preserve"> нефтепродуктов</w:t>
      </w:r>
      <w:r w:rsidRPr="009D754F">
        <w:rPr>
          <w:rFonts w:ascii="Times New Roman" w:eastAsia="Times New Roman" w:hAnsi="Times New Roman" w:cs="Times New Roman"/>
          <w:sz w:val="28"/>
          <w:szCs w:val="28"/>
          <w:lang w:eastAsia="ru-RU"/>
        </w:rPr>
        <w:t xml:space="preserve">, что характерно для олигополии, поэтому со стороны региональных органов ФАС необходим пристальный контроль за изменениями цен; анализ обоснованности их повышения. Для минимизации </w:t>
      </w:r>
      <w:r w:rsidRPr="009D754F">
        <w:rPr>
          <w:rFonts w:ascii="Times New Roman" w:eastAsia="Times New Roman" w:hAnsi="Times New Roman" w:cs="Times New Roman"/>
          <w:sz w:val="28"/>
          <w:szCs w:val="28"/>
          <w:lang w:eastAsia="ru-RU"/>
        </w:rPr>
        <w:lastRenderedPageBreak/>
        <w:t>потерь общественного благосостояния требуются меры по поддержанию конкуренции. В частности, организация топливных хранилищ на более удаленных от НПЗ территориях может содействовать усилению конкуренции на рынке топлива за счет устранения зависимости от условий транспортировки и работы ближайших НПЗ.</w:t>
      </w:r>
    </w:p>
    <w:p w14:paraId="490673E5" w14:textId="77777777" w:rsidR="00046471" w:rsidRPr="009D754F" w:rsidRDefault="00046471" w:rsidP="00046471">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9D754F">
        <w:rPr>
          <w:rFonts w:ascii="Times New Roman" w:eastAsia="Times New Roman" w:hAnsi="Times New Roman" w:cs="Times New Roman"/>
          <w:sz w:val="28"/>
          <w:szCs w:val="28"/>
          <w:lang w:eastAsia="ru-RU"/>
        </w:rPr>
        <w:t>Другой мерой может быть установление значительно больших объемов топлива обязательных к реализации нефтяными компаниями на товарной бирже. Это позволит минимизировать возможности ВИНКов манипулировать отпускными ценами, не допуская отгрузку ими нефтепродуктов своим дочерним компаниям по ценам значительно более низким, чем для всех остальных компаний.</w:t>
      </w:r>
    </w:p>
    <w:p w14:paraId="0EB72559" w14:textId="00D77ADC" w:rsidR="0092084D" w:rsidRDefault="0092084D" w:rsidP="00AA070A">
      <w:pPr>
        <w:spacing w:after="0" w:line="360" w:lineRule="auto"/>
        <w:ind w:firstLine="709"/>
        <w:jc w:val="both"/>
        <w:rPr>
          <w:rFonts w:ascii="Times New Roman" w:hAnsi="Times New Roman" w:cs="Times New Roman"/>
          <w:sz w:val="28"/>
          <w:szCs w:val="28"/>
        </w:rPr>
      </w:pPr>
      <w:r w:rsidRPr="00AA070A">
        <w:rPr>
          <w:rFonts w:ascii="Times New Roman" w:hAnsi="Times New Roman" w:cs="Times New Roman"/>
          <w:sz w:val="28"/>
          <w:szCs w:val="28"/>
        </w:rPr>
        <w:t xml:space="preserve">Учитывая природно-географические и социально-экономические различия субъектов РФ, анализ конкуренции на </w:t>
      </w:r>
      <w:r w:rsidR="00AA070A">
        <w:rPr>
          <w:rFonts w:ascii="Times New Roman" w:hAnsi="Times New Roman" w:cs="Times New Roman"/>
          <w:sz w:val="28"/>
          <w:szCs w:val="28"/>
        </w:rPr>
        <w:t>розничном</w:t>
      </w:r>
      <w:r w:rsidRPr="00AA070A">
        <w:rPr>
          <w:rFonts w:ascii="Times New Roman" w:hAnsi="Times New Roman" w:cs="Times New Roman"/>
          <w:sz w:val="28"/>
          <w:szCs w:val="28"/>
        </w:rPr>
        <w:t xml:space="preserve"> рынке </w:t>
      </w:r>
      <w:r w:rsidR="00AA070A">
        <w:rPr>
          <w:rFonts w:ascii="Times New Roman" w:hAnsi="Times New Roman" w:cs="Times New Roman"/>
          <w:sz w:val="28"/>
          <w:szCs w:val="28"/>
        </w:rPr>
        <w:t xml:space="preserve">нефтепродуктов </w:t>
      </w:r>
      <w:r w:rsidRPr="00AA070A">
        <w:rPr>
          <w:rFonts w:ascii="Times New Roman" w:hAnsi="Times New Roman" w:cs="Times New Roman"/>
          <w:sz w:val="28"/>
          <w:szCs w:val="28"/>
        </w:rPr>
        <w:t xml:space="preserve">на уровне регионов </w:t>
      </w:r>
      <w:r w:rsidR="002F598C">
        <w:rPr>
          <w:rFonts w:ascii="Times New Roman" w:hAnsi="Times New Roman" w:cs="Times New Roman"/>
          <w:sz w:val="28"/>
          <w:szCs w:val="28"/>
        </w:rPr>
        <w:t xml:space="preserve">с учетом характеристик НПЗ </w:t>
      </w:r>
      <w:r w:rsidRPr="00AA070A">
        <w:rPr>
          <w:rFonts w:ascii="Times New Roman" w:hAnsi="Times New Roman" w:cs="Times New Roman"/>
          <w:sz w:val="28"/>
          <w:szCs w:val="28"/>
        </w:rPr>
        <w:t>позволит принимать более взвешенные и обоснованные решения в вопросах регулирования отрасли.</w:t>
      </w:r>
    </w:p>
    <w:p w14:paraId="54B4875D" w14:textId="77777777" w:rsidR="00BB315E" w:rsidRDefault="00BB315E" w:rsidP="00AA070A">
      <w:pPr>
        <w:spacing w:after="0" w:line="360" w:lineRule="auto"/>
        <w:ind w:firstLine="709"/>
        <w:jc w:val="both"/>
        <w:rPr>
          <w:rFonts w:ascii="Times New Roman" w:hAnsi="Times New Roman" w:cs="Times New Roman"/>
          <w:sz w:val="28"/>
          <w:szCs w:val="28"/>
        </w:rPr>
      </w:pPr>
    </w:p>
    <w:p w14:paraId="5495ED5C" w14:textId="77777777" w:rsidR="00BB315E" w:rsidRPr="00680704" w:rsidRDefault="00BB315E" w:rsidP="00BB315E">
      <w:pPr>
        <w:spacing w:after="0" w:line="360" w:lineRule="auto"/>
        <w:ind w:firstLine="709"/>
        <w:jc w:val="center"/>
        <w:rPr>
          <w:i/>
          <w:iCs/>
          <w:sz w:val="28"/>
          <w:szCs w:val="28"/>
        </w:rPr>
      </w:pPr>
      <w:r w:rsidRPr="00680704">
        <w:rPr>
          <w:rFonts w:ascii="Times New Roman" w:hAnsi="Times New Roman" w:cs="Times New Roman"/>
          <w:i/>
          <w:iCs/>
          <w:sz w:val="28"/>
          <w:szCs w:val="28"/>
        </w:rPr>
        <w:t>Список литературы / References</w:t>
      </w:r>
    </w:p>
    <w:p w14:paraId="7E6E855C" w14:textId="5EFA857A" w:rsidR="001501AE" w:rsidRDefault="00BB315E" w:rsidP="001501AE">
      <w:pPr>
        <w:numPr>
          <w:ilvl w:val="0"/>
          <w:numId w:val="7"/>
        </w:numPr>
        <w:spacing w:after="0" w:line="360" w:lineRule="auto"/>
        <w:ind w:left="0" w:firstLine="709"/>
        <w:jc w:val="both"/>
        <w:rPr>
          <w:rFonts w:ascii="Times New Roman" w:eastAsia="Times New Roman" w:hAnsi="Times New Roman" w:cs="Times New Roman"/>
          <w:sz w:val="28"/>
          <w:szCs w:val="28"/>
          <w:lang w:val="en-US" w:eastAsia="ru-RU"/>
        </w:rPr>
      </w:pPr>
      <w:r w:rsidRPr="00BB315E">
        <w:rPr>
          <w:rFonts w:ascii="Times New Roman" w:eastAsia="Times New Roman" w:hAnsi="Times New Roman" w:cs="Times New Roman"/>
          <w:sz w:val="28"/>
          <w:szCs w:val="28"/>
          <w:lang w:val="en-US" w:eastAsia="ru-RU"/>
        </w:rPr>
        <w:t>Eckert A. (2013)</w:t>
      </w:r>
      <w:r w:rsidRPr="001501AE">
        <w:rPr>
          <w:rFonts w:ascii="Times New Roman" w:eastAsia="Times New Roman" w:hAnsi="Times New Roman" w:cs="Times New Roman"/>
          <w:sz w:val="28"/>
          <w:szCs w:val="28"/>
          <w:lang w:val="en-US" w:eastAsia="ru-RU"/>
        </w:rPr>
        <w:t>.</w:t>
      </w:r>
      <w:r w:rsidRPr="00BB315E">
        <w:rPr>
          <w:rFonts w:ascii="Times New Roman" w:eastAsia="Times New Roman" w:hAnsi="Times New Roman" w:cs="Times New Roman"/>
          <w:sz w:val="28"/>
          <w:szCs w:val="28"/>
          <w:lang w:val="en-US" w:eastAsia="ru-RU"/>
        </w:rPr>
        <w:t xml:space="preserve"> Empirical studies of gasoline retailing: A guide to the literature</w:t>
      </w:r>
      <w:r w:rsidR="001501AE" w:rsidRPr="001501AE">
        <w:rPr>
          <w:rFonts w:ascii="Times New Roman" w:eastAsia="Times New Roman" w:hAnsi="Times New Roman" w:cs="Times New Roman"/>
          <w:sz w:val="28"/>
          <w:szCs w:val="28"/>
          <w:lang w:val="en-US" w:eastAsia="ru-RU"/>
        </w:rPr>
        <w:t>.</w:t>
      </w:r>
      <w:r w:rsidRPr="00BB315E">
        <w:rPr>
          <w:rFonts w:ascii="Times New Roman" w:eastAsia="Times New Roman" w:hAnsi="Times New Roman" w:cs="Times New Roman"/>
          <w:sz w:val="28"/>
          <w:szCs w:val="28"/>
          <w:lang w:val="en-US" w:eastAsia="ru-RU"/>
        </w:rPr>
        <w:t xml:space="preserve"> </w:t>
      </w:r>
      <w:r w:rsidRPr="001501AE">
        <w:rPr>
          <w:rFonts w:ascii="Times New Roman" w:eastAsia="Times New Roman" w:hAnsi="Times New Roman" w:cs="Times New Roman"/>
          <w:i/>
          <w:iCs/>
          <w:sz w:val="28"/>
          <w:szCs w:val="28"/>
          <w:lang w:val="en-US" w:eastAsia="ru-RU"/>
        </w:rPr>
        <w:t>Journal of Economic Surveys</w:t>
      </w:r>
      <w:r w:rsidR="001501AE" w:rsidRPr="001501AE">
        <w:rPr>
          <w:rFonts w:ascii="Times New Roman" w:eastAsia="Times New Roman" w:hAnsi="Times New Roman" w:cs="Times New Roman"/>
          <w:i/>
          <w:iCs/>
          <w:sz w:val="28"/>
          <w:szCs w:val="28"/>
          <w:lang w:val="en-US" w:eastAsia="ru-RU"/>
        </w:rPr>
        <w:t xml:space="preserve">, </w:t>
      </w:r>
      <w:r w:rsidR="001501AE" w:rsidRPr="00BB315E">
        <w:rPr>
          <w:rFonts w:ascii="Times New Roman" w:eastAsia="Times New Roman" w:hAnsi="Times New Roman" w:cs="Times New Roman"/>
          <w:sz w:val="28"/>
          <w:szCs w:val="28"/>
          <w:lang w:val="en-US" w:eastAsia="ru-RU"/>
        </w:rPr>
        <w:t>Vol.</w:t>
      </w:r>
      <w:r w:rsidRPr="00BB315E">
        <w:rPr>
          <w:rFonts w:ascii="Times New Roman" w:eastAsia="Times New Roman" w:hAnsi="Times New Roman" w:cs="Times New Roman"/>
          <w:sz w:val="28"/>
          <w:szCs w:val="28"/>
          <w:lang w:val="en-US" w:eastAsia="ru-RU"/>
        </w:rPr>
        <w:t xml:space="preserve"> 27</w:t>
      </w:r>
      <w:r w:rsidR="001501AE" w:rsidRPr="00BB315E">
        <w:rPr>
          <w:rFonts w:ascii="Times New Roman" w:eastAsia="Times New Roman" w:hAnsi="Times New Roman" w:cs="Times New Roman"/>
          <w:sz w:val="28"/>
          <w:szCs w:val="28"/>
          <w:lang w:val="en-US" w:eastAsia="ru-RU"/>
        </w:rPr>
        <w:t xml:space="preserve">, No. </w:t>
      </w:r>
      <w:r w:rsidRPr="00BB315E">
        <w:rPr>
          <w:rFonts w:ascii="Times New Roman" w:eastAsia="Times New Roman" w:hAnsi="Times New Roman" w:cs="Times New Roman"/>
          <w:sz w:val="28"/>
          <w:szCs w:val="28"/>
          <w:lang w:val="en-US" w:eastAsia="ru-RU"/>
        </w:rPr>
        <w:t>1</w:t>
      </w:r>
      <w:r w:rsidR="001501AE" w:rsidRPr="001501AE">
        <w:rPr>
          <w:rFonts w:ascii="Times New Roman" w:eastAsia="Times New Roman" w:hAnsi="Times New Roman" w:cs="Times New Roman"/>
          <w:sz w:val="28"/>
          <w:szCs w:val="28"/>
          <w:lang w:val="en-US" w:eastAsia="ru-RU"/>
        </w:rPr>
        <w:t xml:space="preserve">, </w:t>
      </w:r>
      <w:r w:rsidR="001501AE" w:rsidRPr="00BB315E">
        <w:rPr>
          <w:rFonts w:ascii="Times New Roman" w:eastAsia="Times New Roman" w:hAnsi="Times New Roman" w:cs="Times New Roman"/>
          <w:sz w:val="28"/>
          <w:szCs w:val="28"/>
          <w:lang w:val="en-US" w:eastAsia="ru-RU"/>
        </w:rPr>
        <w:t>pp.</w:t>
      </w:r>
      <w:r w:rsidRPr="00BB315E">
        <w:rPr>
          <w:rFonts w:ascii="Times New Roman" w:eastAsia="Times New Roman" w:hAnsi="Times New Roman" w:cs="Times New Roman"/>
          <w:sz w:val="28"/>
          <w:szCs w:val="28"/>
          <w:lang w:val="en-US" w:eastAsia="ru-RU"/>
        </w:rPr>
        <w:t xml:space="preserve"> 140</w:t>
      </w:r>
      <w:r w:rsidR="001501AE" w:rsidRPr="00BB315E">
        <w:rPr>
          <w:rFonts w:ascii="Times New Roman" w:eastAsia="Times New Roman" w:hAnsi="Times New Roman" w:cs="Times New Roman"/>
          <w:sz w:val="28"/>
          <w:szCs w:val="28"/>
          <w:lang w:val="en-US" w:eastAsia="ru-RU"/>
        </w:rPr>
        <w:t>—</w:t>
      </w:r>
      <w:r w:rsidRPr="00BB315E">
        <w:rPr>
          <w:rFonts w:ascii="Times New Roman" w:eastAsia="Times New Roman" w:hAnsi="Times New Roman" w:cs="Times New Roman"/>
          <w:sz w:val="28"/>
          <w:szCs w:val="28"/>
          <w:lang w:val="en-US" w:eastAsia="ru-RU"/>
        </w:rPr>
        <w:t>166.</w:t>
      </w:r>
      <w:r w:rsidR="001501AE">
        <w:rPr>
          <w:rFonts w:ascii="Times New Roman" w:eastAsia="Times New Roman" w:hAnsi="Times New Roman" w:cs="Times New Roman"/>
          <w:sz w:val="28"/>
          <w:szCs w:val="28"/>
          <w:lang w:val="en-US" w:eastAsia="ru-RU"/>
        </w:rPr>
        <w:t xml:space="preserve"> </w:t>
      </w:r>
      <w:hyperlink r:id="rId8" w:history="1">
        <w:r w:rsidR="001501AE" w:rsidRPr="00CB5FFE">
          <w:rPr>
            <w:rStyle w:val="a8"/>
            <w:rFonts w:ascii="Times New Roman" w:eastAsia="Times New Roman" w:hAnsi="Times New Roman" w:cs="Times New Roman"/>
            <w:sz w:val="28"/>
            <w:szCs w:val="28"/>
            <w:lang w:val="en-US" w:eastAsia="ru-RU"/>
          </w:rPr>
          <w:t>https://doi.org/10.1111/j.1467-6419.2011.00698.x</w:t>
        </w:r>
      </w:hyperlink>
    </w:p>
    <w:p w14:paraId="1DA7C191" w14:textId="701014CF" w:rsidR="00BB315E" w:rsidRPr="000D07C0" w:rsidRDefault="00BB315E" w:rsidP="00BB315E">
      <w:pPr>
        <w:numPr>
          <w:ilvl w:val="0"/>
          <w:numId w:val="7"/>
        </w:numPr>
        <w:spacing w:after="0" w:line="360" w:lineRule="auto"/>
        <w:ind w:left="0" w:firstLine="709"/>
        <w:jc w:val="both"/>
        <w:rPr>
          <w:rFonts w:ascii="Times New Roman" w:eastAsia="Times New Roman" w:hAnsi="Times New Roman" w:cs="Times New Roman"/>
          <w:sz w:val="28"/>
          <w:szCs w:val="28"/>
          <w:lang w:val="en-US" w:eastAsia="ru-RU"/>
        </w:rPr>
      </w:pPr>
      <w:r w:rsidRPr="00BB315E">
        <w:rPr>
          <w:rFonts w:ascii="Times New Roman" w:eastAsia="Times New Roman" w:hAnsi="Times New Roman" w:cs="Times New Roman"/>
          <w:sz w:val="28"/>
          <w:szCs w:val="28"/>
          <w:lang w:val="en-US" w:eastAsia="ru-RU"/>
        </w:rPr>
        <w:t xml:space="preserve">Pinkse J., Slade M. E. (1998). Contracting in space: An application of spatial statistics to discrete-choice models. </w:t>
      </w:r>
      <w:r w:rsidRPr="00BB315E">
        <w:rPr>
          <w:rFonts w:ascii="Times New Roman" w:eastAsia="Times New Roman" w:hAnsi="Times New Roman" w:cs="Times New Roman"/>
          <w:i/>
          <w:iCs/>
          <w:sz w:val="28"/>
          <w:szCs w:val="28"/>
          <w:lang w:val="en-US" w:eastAsia="ru-RU"/>
        </w:rPr>
        <w:t>Journal of Econometrics</w:t>
      </w:r>
      <w:r w:rsidRPr="00BB315E">
        <w:rPr>
          <w:rFonts w:ascii="Times New Roman" w:eastAsia="Times New Roman" w:hAnsi="Times New Roman" w:cs="Times New Roman"/>
          <w:sz w:val="28"/>
          <w:szCs w:val="28"/>
          <w:lang w:val="en-US" w:eastAsia="ru-RU"/>
        </w:rPr>
        <w:t xml:space="preserve">, Vol. 85, No. 1, pp. 125—154. </w:t>
      </w:r>
      <w:hyperlink r:id="rId9" w:history="1">
        <w:r w:rsidRPr="00BB315E">
          <w:rPr>
            <w:rFonts w:ascii="Times New Roman" w:eastAsia="Times New Roman" w:hAnsi="Times New Roman" w:cs="Times New Roman"/>
            <w:color w:val="0563C1"/>
            <w:sz w:val="28"/>
            <w:szCs w:val="28"/>
            <w:u w:val="single"/>
            <w:lang w:val="en-US" w:eastAsia="ru-RU"/>
          </w:rPr>
          <w:t>https://doi.org/10.1016/S0304-4076(97)00097-3</w:t>
        </w:r>
      </w:hyperlink>
    </w:p>
    <w:p w14:paraId="33FB2969" w14:textId="77777777" w:rsidR="000D07C0" w:rsidRPr="00BB315E" w:rsidRDefault="000D07C0" w:rsidP="000D07C0">
      <w:pPr>
        <w:spacing w:after="0" w:line="360" w:lineRule="auto"/>
        <w:ind w:left="709"/>
        <w:jc w:val="both"/>
        <w:rPr>
          <w:rFonts w:ascii="Times New Roman" w:eastAsia="Times New Roman" w:hAnsi="Times New Roman" w:cs="Times New Roman"/>
          <w:sz w:val="28"/>
          <w:szCs w:val="28"/>
          <w:lang w:val="en-US" w:eastAsia="ru-RU"/>
        </w:rPr>
      </w:pPr>
    </w:p>
    <w:sectPr w:rsidR="000D07C0" w:rsidRPr="00BB31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B93F" w14:textId="77777777" w:rsidR="00FB787A" w:rsidRDefault="00FB787A" w:rsidP="008D3255">
      <w:pPr>
        <w:spacing w:after="0" w:line="240" w:lineRule="auto"/>
      </w:pPr>
      <w:r>
        <w:separator/>
      </w:r>
    </w:p>
  </w:endnote>
  <w:endnote w:type="continuationSeparator" w:id="0">
    <w:p w14:paraId="5978CBF7" w14:textId="77777777" w:rsidR="00FB787A" w:rsidRDefault="00FB787A" w:rsidP="008D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CDC8" w14:textId="77777777" w:rsidR="00FB787A" w:rsidRDefault="00FB787A" w:rsidP="008D3255">
      <w:pPr>
        <w:spacing w:after="0" w:line="240" w:lineRule="auto"/>
      </w:pPr>
      <w:r>
        <w:separator/>
      </w:r>
    </w:p>
  </w:footnote>
  <w:footnote w:type="continuationSeparator" w:id="0">
    <w:p w14:paraId="3565910D" w14:textId="77777777" w:rsidR="00FB787A" w:rsidRDefault="00FB787A" w:rsidP="008D3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476"/>
    <w:multiLevelType w:val="hybridMultilevel"/>
    <w:tmpl w:val="6046C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C2F3A"/>
    <w:multiLevelType w:val="hybridMultilevel"/>
    <w:tmpl w:val="E284616C"/>
    <w:lvl w:ilvl="0" w:tplc="5E7E9220">
      <w:start w:val="1"/>
      <w:numFmt w:val="bullet"/>
      <w:lvlText w:val="­"/>
      <w:lvlJc w:val="left"/>
      <w:pPr>
        <w:ind w:left="5322"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DC2784"/>
    <w:multiLevelType w:val="hybridMultilevel"/>
    <w:tmpl w:val="568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91C45"/>
    <w:multiLevelType w:val="hybridMultilevel"/>
    <w:tmpl w:val="4B66ED24"/>
    <w:lvl w:ilvl="0" w:tplc="41D605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7730F65"/>
    <w:multiLevelType w:val="hybridMultilevel"/>
    <w:tmpl w:val="71B497BC"/>
    <w:lvl w:ilvl="0" w:tplc="8B92CC38">
      <w:start w:val="1"/>
      <w:numFmt w:val="bullet"/>
      <w:lvlText w:val="•"/>
      <w:lvlJc w:val="left"/>
      <w:pPr>
        <w:tabs>
          <w:tab w:val="num" w:pos="720"/>
        </w:tabs>
        <w:ind w:left="720" w:hanging="360"/>
      </w:pPr>
      <w:rPr>
        <w:rFonts w:ascii="Arial" w:hAnsi="Arial" w:hint="default"/>
      </w:rPr>
    </w:lvl>
    <w:lvl w:ilvl="1" w:tplc="269EC4AA" w:tentative="1">
      <w:start w:val="1"/>
      <w:numFmt w:val="bullet"/>
      <w:lvlText w:val="•"/>
      <w:lvlJc w:val="left"/>
      <w:pPr>
        <w:tabs>
          <w:tab w:val="num" w:pos="1440"/>
        </w:tabs>
        <w:ind w:left="1440" w:hanging="360"/>
      </w:pPr>
      <w:rPr>
        <w:rFonts w:ascii="Arial" w:hAnsi="Arial" w:hint="default"/>
      </w:rPr>
    </w:lvl>
    <w:lvl w:ilvl="2" w:tplc="545227AC" w:tentative="1">
      <w:start w:val="1"/>
      <w:numFmt w:val="bullet"/>
      <w:lvlText w:val="•"/>
      <w:lvlJc w:val="left"/>
      <w:pPr>
        <w:tabs>
          <w:tab w:val="num" w:pos="2160"/>
        </w:tabs>
        <w:ind w:left="2160" w:hanging="360"/>
      </w:pPr>
      <w:rPr>
        <w:rFonts w:ascii="Arial" w:hAnsi="Arial" w:hint="default"/>
      </w:rPr>
    </w:lvl>
    <w:lvl w:ilvl="3" w:tplc="72CA27A8" w:tentative="1">
      <w:start w:val="1"/>
      <w:numFmt w:val="bullet"/>
      <w:lvlText w:val="•"/>
      <w:lvlJc w:val="left"/>
      <w:pPr>
        <w:tabs>
          <w:tab w:val="num" w:pos="2880"/>
        </w:tabs>
        <w:ind w:left="2880" w:hanging="360"/>
      </w:pPr>
      <w:rPr>
        <w:rFonts w:ascii="Arial" w:hAnsi="Arial" w:hint="default"/>
      </w:rPr>
    </w:lvl>
    <w:lvl w:ilvl="4" w:tplc="A68CFC40" w:tentative="1">
      <w:start w:val="1"/>
      <w:numFmt w:val="bullet"/>
      <w:lvlText w:val="•"/>
      <w:lvlJc w:val="left"/>
      <w:pPr>
        <w:tabs>
          <w:tab w:val="num" w:pos="3600"/>
        </w:tabs>
        <w:ind w:left="3600" w:hanging="360"/>
      </w:pPr>
      <w:rPr>
        <w:rFonts w:ascii="Arial" w:hAnsi="Arial" w:hint="default"/>
      </w:rPr>
    </w:lvl>
    <w:lvl w:ilvl="5" w:tplc="C75C8BD2" w:tentative="1">
      <w:start w:val="1"/>
      <w:numFmt w:val="bullet"/>
      <w:lvlText w:val="•"/>
      <w:lvlJc w:val="left"/>
      <w:pPr>
        <w:tabs>
          <w:tab w:val="num" w:pos="4320"/>
        </w:tabs>
        <w:ind w:left="4320" w:hanging="360"/>
      </w:pPr>
      <w:rPr>
        <w:rFonts w:ascii="Arial" w:hAnsi="Arial" w:hint="default"/>
      </w:rPr>
    </w:lvl>
    <w:lvl w:ilvl="6" w:tplc="A2B8F7AE" w:tentative="1">
      <w:start w:val="1"/>
      <w:numFmt w:val="bullet"/>
      <w:lvlText w:val="•"/>
      <w:lvlJc w:val="left"/>
      <w:pPr>
        <w:tabs>
          <w:tab w:val="num" w:pos="5040"/>
        </w:tabs>
        <w:ind w:left="5040" w:hanging="360"/>
      </w:pPr>
      <w:rPr>
        <w:rFonts w:ascii="Arial" w:hAnsi="Arial" w:hint="default"/>
      </w:rPr>
    </w:lvl>
    <w:lvl w:ilvl="7" w:tplc="6AA6DEA2" w:tentative="1">
      <w:start w:val="1"/>
      <w:numFmt w:val="bullet"/>
      <w:lvlText w:val="•"/>
      <w:lvlJc w:val="left"/>
      <w:pPr>
        <w:tabs>
          <w:tab w:val="num" w:pos="5760"/>
        </w:tabs>
        <w:ind w:left="5760" w:hanging="360"/>
      </w:pPr>
      <w:rPr>
        <w:rFonts w:ascii="Arial" w:hAnsi="Arial" w:hint="default"/>
      </w:rPr>
    </w:lvl>
    <w:lvl w:ilvl="8" w:tplc="9D568C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2B40AB"/>
    <w:multiLevelType w:val="hybridMultilevel"/>
    <w:tmpl w:val="3F40F9E4"/>
    <w:lvl w:ilvl="0" w:tplc="ACBEA1D4">
      <w:start w:val="1"/>
      <w:numFmt w:val="bullet"/>
      <w:lvlText w:val=""/>
      <w:lvlJc w:val="left"/>
      <w:pPr>
        <w:tabs>
          <w:tab w:val="num" w:pos="720"/>
        </w:tabs>
        <w:ind w:left="720" w:hanging="360"/>
      </w:pPr>
      <w:rPr>
        <w:rFonts w:ascii="Wingdings" w:hAnsi="Wingdings" w:hint="default"/>
      </w:rPr>
    </w:lvl>
    <w:lvl w:ilvl="1" w:tplc="C4B85A5A">
      <w:start w:val="1"/>
      <w:numFmt w:val="bullet"/>
      <w:lvlText w:val=""/>
      <w:lvlJc w:val="left"/>
      <w:pPr>
        <w:tabs>
          <w:tab w:val="num" w:pos="1440"/>
        </w:tabs>
        <w:ind w:left="1440" w:hanging="360"/>
      </w:pPr>
      <w:rPr>
        <w:rFonts w:ascii="Symbol" w:hAnsi="Symbol" w:hint="default"/>
      </w:rPr>
    </w:lvl>
    <w:lvl w:ilvl="2" w:tplc="FCD65EF2" w:tentative="1">
      <w:start w:val="1"/>
      <w:numFmt w:val="bullet"/>
      <w:lvlText w:val=""/>
      <w:lvlJc w:val="left"/>
      <w:pPr>
        <w:tabs>
          <w:tab w:val="num" w:pos="2160"/>
        </w:tabs>
        <w:ind w:left="2160" w:hanging="360"/>
      </w:pPr>
      <w:rPr>
        <w:rFonts w:ascii="Wingdings" w:hAnsi="Wingdings" w:hint="default"/>
      </w:rPr>
    </w:lvl>
    <w:lvl w:ilvl="3" w:tplc="FADA377C" w:tentative="1">
      <w:start w:val="1"/>
      <w:numFmt w:val="bullet"/>
      <w:lvlText w:val=""/>
      <w:lvlJc w:val="left"/>
      <w:pPr>
        <w:tabs>
          <w:tab w:val="num" w:pos="2880"/>
        </w:tabs>
        <w:ind w:left="2880" w:hanging="360"/>
      </w:pPr>
      <w:rPr>
        <w:rFonts w:ascii="Wingdings" w:hAnsi="Wingdings" w:hint="default"/>
      </w:rPr>
    </w:lvl>
    <w:lvl w:ilvl="4" w:tplc="EBDC03E2" w:tentative="1">
      <w:start w:val="1"/>
      <w:numFmt w:val="bullet"/>
      <w:lvlText w:val=""/>
      <w:lvlJc w:val="left"/>
      <w:pPr>
        <w:tabs>
          <w:tab w:val="num" w:pos="3600"/>
        </w:tabs>
        <w:ind w:left="3600" w:hanging="360"/>
      </w:pPr>
      <w:rPr>
        <w:rFonts w:ascii="Wingdings" w:hAnsi="Wingdings" w:hint="default"/>
      </w:rPr>
    </w:lvl>
    <w:lvl w:ilvl="5" w:tplc="2FC85C0C" w:tentative="1">
      <w:start w:val="1"/>
      <w:numFmt w:val="bullet"/>
      <w:lvlText w:val=""/>
      <w:lvlJc w:val="left"/>
      <w:pPr>
        <w:tabs>
          <w:tab w:val="num" w:pos="4320"/>
        </w:tabs>
        <w:ind w:left="4320" w:hanging="360"/>
      </w:pPr>
      <w:rPr>
        <w:rFonts w:ascii="Wingdings" w:hAnsi="Wingdings" w:hint="default"/>
      </w:rPr>
    </w:lvl>
    <w:lvl w:ilvl="6" w:tplc="9B94198C" w:tentative="1">
      <w:start w:val="1"/>
      <w:numFmt w:val="bullet"/>
      <w:lvlText w:val=""/>
      <w:lvlJc w:val="left"/>
      <w:pPr>
        <w:tabs>
          <w:tab w:val="num" w:pos="5040"/>
        </w:tabs>
        <w:ind w:left="5040" w:hanging="360"/>
      </w:pPr>
      <w:rPr>
        <w:rFonts w:ascii="Wingdings" w:hAnsi="Wingdings" w:hint="default"/>
      </w:rPr>
    </w:lvl>
    <w:lvl w:ilvl="7" w:tplc="96E454C0" w:tentative="1">
      <w:start w:val="1"/>
      <w:numFmt w:val="bullet"/>
      <w:lvlText w:val=""/>
      <w:lvlJc w:val="left"/>
      <w:pPr>
        <w:tabs>
          <w:tab w:val="num" w:pos="5760"/>
        </w:tabs>
        <w:ind w:left="5760" w:hanging="360"/>
      </w:pPr>
      <w:rPr>
        <w:rFonts w:ascii="Wingdings" w:hAnsi="Wingdings" w:hint="default"/>
      </w:rPr>
    </w:lvl>
    <w:lvl w:ilvl="8" w:tplc="A65A61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0016B"/>
    <w:multiLevelType w:val="multilevel"/>
    <w:tmpl w:val="0EC8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650B0"/>
    <w:multiLevelType w:val="hybridMultilevel"/>
    <w:tmpl w:val="2708DADA"/>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num w:numId="1" w16cid:durableId="1915967463">
    <w:abstractNumId w:val="6"/>
  </w:num>
  <w:num w:numId="2" w16cid:durableId="278611879">
    <w:abstractNumId w:val="1"/>
  </w:num>
  <w:num w:numId="3" w16cid:durableId="1918442012">
    <w:abstractNumId w:val="7"/>
  </w:num>
  <w:num w:numId="4" w16cid:durableId="2074306751">
    <w:abstractNumId w:val="5"/>
  </w:num>
  <w:num w:numId="5" w16cid:durableId="813913395">
    <w:abstractNumId w:val="3"/>
  </w:num>
  <w:num w:numId="6" w16cid:durableId="736130865">
    <w:abstractNumId w:val="2"/>
  </w:num>
  <w:num w:numId="7" w16cid:durableId="1790276347">
    <w:abstractNumId w:val="0"/>
  </w:num>
  <w:num w:numId="8" w16cid:durableId="133021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4D"/>
    <w:rsid w:val="00002CD9"/>
    <w:rsid w:val="00003735"/>
    <w:rsid w:val="000178FE"/>
    <w:rsid w:val="00021DA1"/>
    <w:rsid w:val="00046471"/>
    <w:rsid w:val="00062792"/>
    <w:rsid w:val="000918BB"/>
    <w:rsid w:val="000D07C0"/>
    <w:rsid w:val="00144E8B"/>
    <w:rsid w:val="001501AE"/>
    <w:rsid w:val="00165078"/>
    <w:rsid w:val="00190241"/>
    <w:rsid w:val="001C34A7"/>
    <w:rsid w:val="001C4CBA"/>
    <w:rsid w:val="00204923"/>
    <w:rsid w:val="00207D4C"/>
    <w:rsid w:val="00252C3A"/>
    <w:rsid w:val="002A16CF"/>
    <w:rsid w:val="002F598C"/>
    <w:rsid w:val="00301B62"/>
    <w:rsid w:val="0032298C"/>
    <w:rsid w:val="00354B6C"/>
    <w:rsid w:val="00391BEA"/>
    <w:rsid w:val="003B49A1"/>
    <w:rsid w:val="003D2CC5"/>
    <w:rsid w:val="004250A9"/>
    <w:rsid w:val="004B0ABA"/>
    <w:rsid w:val="004B47E5"/>
    <w:rsid w:val="005415A8"/>
    <w:rsid w:val="0058269E"/>
    <w:rsid w:val="005A5651"/>
    <w:rsid w:val="005B4C19"/>
    <w:rsid w:val="0063198F"/>
    <w:rsid w:val="0067427D"/>
    <w:rsid w:val="00683E8A"/>
    <w:rsid w:val="006A63FA"/>
    <w:rsid w:val="00722FA2"/>
    <w:rsid w:val="00737FB4"/>
    <w:rsid w:val="0076675D"/>
    <w:rsid w:val="0079727E"/>
    <w:rsid w:val="007A091D"/>
    <w:rsid w:val="007A519A"/>
    <w:rsid w:val="007D75C0"/>
    <w:rsid w:val="00851C46"/>
    <w:rsid w:val="00863245"/>
    <w:rsid w:val="008931D6"/>
    <w:rsid w:val="008A21CD"/>
    <w:rsid w:val="008D3255"/>
    <w:rsid w:val="008D520F"/>
    <w:rsid w:val="008F10E7"/>
    <w:rsid w:val="00902322"/>
    <w:rsid w:val="0092084D"/>
    <w:rsid w:val="009630E4"/>
    <w:rsid w:val="00971D32"/>
    <w:rsid w:val="009D754F"/>
    <w:rsid w:val="009E2645"/>
    <w:rsid w:val="00A520B1"/>
    <w:rsid w:val="00A67EC5"/>
    <w:rsid w:val="00A949D4"/>
    <w:rsid w:val="00A9528A"/>
    <w:rsid w:val="00AA070A"/>
    <w:rsid w:val="00AC62CA"/>
    <w:rsid w:val="00B177B1"/>
    <w:rsid w:val="00B32CD5"/>
    <w:rsid w:val="00B472A6"/>
    <w:rsid w:val="00BB315E"/>
    <w:rsid w:val="00BC1419"/>
    <w:rsid w:val="00BD6015"/>
    <w:rsid w:val="00BE6045"/>
    <w:rsid w:val="00C07ED6"/>
    <w:rsid w:val="00C11D78"/>
    <w:rsid w:val="00C46BA9"/>
    <w:rsid w:val="00C60B4D"/>
    <w:rsid w:val="00C71508"/>
    <w:rsid w:val="00C733F2"/>
    <w:rsid w:val="00CD7874"/>
    <w:rsid w:val="00D04C07"/>
    <w:rsid w:val="00D26249"/>
    <w:rsid w:val="00D706CC"/>
    <w:rsid w:val="00D72D49"/>
    <w:rsid w:val="00D73456"/>
    <w:rsid w:val="00DB494A"/>
    <w:rsid w:val="00DB4C75"/>
    <w:rsid w:val="00DF79A6"/>
    <w:rsid w:val="00DF7D2E"/>
    <w:rsid w:val="00E21319"/>
    <w:rsid w:val="00EA1AE8"/>
    <w:rsid w:val="00EC1CA5"/>
    <w:rsid w:val="00EF0B54"/>
    <w:rsid w:val="00EF0E68"/>
    <w:rsid w:val="00F86354"/>
    <w:rsid w:val="00F943BC"/>
    <w:rsid w:val="00F97188"/>
    <w:rsid w:val="00FA72A5"/>
    <w:rsid w:val="00FB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66DF"/>
  <w15:chartTrackingRefBased/>
  <w15:docId w15:val="{549494BB-2489-45B3-AFD2-BA69F123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923"/>
  </w:style>
  <w:style w:type="paragraph" w:styleId="1">
    <w:name w:val="heading 1"/>
    <w:basedOn w:val="a"/>
    <w:next w:val="a"/>
    <w:link w:val="10"/>
    <w:uiPriority w:val="9"/>
    <w:qFormat/>
    <w:rsid w:val="00002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B17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D706CC"/>
    <w:pPr>
      <w:spacing w:after="0" w:line="360" w:lineRule="auto"/>
      <w:ind w:left="720" w:firstLine="709"/>
      <w:contextualSpacing/>
      <w:jc w:val="both"/>
    </w:pPr>
  </w:style>
  <w:style w:type="character" w:customStyle="1" w:styleId="a4">
    <w:name w:val="Абзац списка Знак"/>
    <w:link w:val="a3"/>
    <w:uiPriority w:val="34"/>
    <w:locked/>
    <w:rsid w:val="00D706CC"/>
  </w:style>
  <w:style w:type="character" w:customStyle="1" w:styleId="10">
    <w:name w:val="Заголовок 1 Знак"/>
    <w:basedOn w:val="a0"/>
    <w:link w:val="1"/>
    <w:uiPriority w:val="9"/>
    <w:rsid w:val="00002CD9"/>
    <w:rPr>
      <w:rFonts w:asciiTheme="majorHAnsi" w:eastAsiaTheme="majorEastAsia" w:hAnsiTheme="majorHAnsi" w:cstheme="majorBidi"/>
      <w:color w:val="2F5496" w:themeColor="accent1" w:themeShade="BF"/>
      <w:sz w:val="32"/>
      <w:szCs w:val="32"/>
    </w:rPr>
  </w:style>
  <w:style w:type="paragraph" w:styleId="a5">
    <w:name w:val="footnote text"/>
    <w:aliases w:val="Table_Footnote_last,fn,footnote text,ft,Footnotes,Footnote ak Char Char,Footnote ak Char,Текст сноски Знак Знак Char,Texto de nota al pie Char,Texto de nota al pie,Текст сноски Знак Знак Char Char,Schriftart: 9 pt,Schriftart: 10 pt"/>
    <w:basedOn w:val="a"/>
    <w:link w:val="a6"/>
    <w:unhideWhenUsed/>
    <w:rsid w:val="008D3255"/>
    <w:pPr>
      <w:spacing w:after="0" w:line="240" w:lineRule="auto"/>
    </w:pPr>
    <w:rPr>
      <w:sz w:val="20"/>
      <w:szCs w:val="20"/>
    </w:rPr>
  </w:style>
  <w:style w:type="character" w:customStyle="1" w:styleId="a6">
    <w:name w:val="Текст сноски Знак"/>
    <w:aliases w:val="Table_Footnote_last Знак,fn Знак,footnote text Знак,ft Знак,Footnotes Знак,Footnote ak Char Char Знак,Footnote ak Char Знак,Текст сноски Знак Знак Char Знак,Texto de nota al pie Char Знак,Texto de nota al pie Знак,Schriftart: 9 pt Знак"/>
    <w:basedOn w:val="a0"/>
    <w:link w:val="a5"/>
    <w:rsid w:val="008D3255"/>
    <w:rPr>
      <w:sz w:val="20"/>
      <w:szCs w:val="20"/>
    </w:rPr>
  </w:style>
  <w:style w:type="character" w:styleId="a7">
    <w:name w:val="footnote reference"/>
    <w:aliases w:val="Ref,de nota al pie,Знак сноски-FN,Ciae niinee-FN,SUPERS,Знак сноски 1,Referencia nota al pie,fr,Used by Word for Help footnote symbols,Ciae niinee 1,Ссылка на сноску 45,Appel note de bas de page"/>
    <w:basedOn w:val="a0"/>
    <w:unhideWhenUsed/>
    <w:rsid w:val="008D3255"/>
    <w:rPr>
      <w:vertAlign w:val="superscript"/>
    </w:rPr>
  </w:style>
  <w:style w:type="character" w:styleId="a8">
    <w:name w:val="Hyperlink"/>
    <w:basedOn w:val="a0"/>
    <w:uiPriority w:val="99"/>
    <w:unhideWhenUsed/>
    <w:rsid w:val="001501AE"/>
    <w:rPr>
      <w:color w:val="0563C1" w:themeColor="hyperlink"/>
      <w:u w:val="single"/>
    </w:rPr>
  </w:style>
  <w:style w:type="character" w:styleId="a9">
    <w:name w:val="Unresolved Mention"/>
    <w:basedOn w:val="a0"/>
    <w:uiPriority w:val="99"/>
    <w:semiHidden/>
    <w:unhideWhenUsed/>
    <w:rsid w:val="0015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467-6419.2011.00698.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S0304-4076(97)000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Tab94</b:Tag>
    <b:SourceType>JournalArticle</b:SourceType>
    <b:Guid>{975948C5-6D8A-4BFB-B84D-5C1DC093F256}</b:Guid>
    <b:Author>
      <b:Author>
        <b:NameList>
          <b:Person>
            <b:Last>Tabuchi T.</b:Last>
          </b:Person>
        </b:NameList>
      </b:Author>
    </b:Author>
    <b:Title>Two-stage two-dimensional spatial competition between two firms</b:Title>
    <b:JournalName>Regional Science and Urban Economics</b:JournalName>
    <b:Year>1994</b:Year>
    <b:Pages>207-227</b:Pages>
    <b:Volume>24</b:Volume>
    <b:Issue>2</b:Issue>
    <b:RefOrder>11</b:RefOrder>
  </b:Source>
  <b:Source>
    <b:Tag>Eat85</b:Tag>
    <b:SourceType>JournalArticle</b:SourceType>
    <b:Guid>{7A551112-6170-4895-A0B4-924E1622403A}</b:Guid>
    <b:Title>Sophisticated entry in a model of spatial competition</b:Title>
    <b:JournalName>Rand Journal of Economics</b:JournalName>
    <b:Year>1985</b:Year>
    <b:Pages>282-297.</b:Pages>
    <b:Volume>16</b:Volume>
    <b:Issue>2</b:Issue>
    <b:Author>
      <b:Author>
        <b:NameList>
          <b:Person>
            <b:Last>Eaton B. C.</b:Last>
          </b:Person>
          <b:Person>
            <b:Last>Wooders M. H.</b:Last>
          </b:Person>
        </b:NameList>
      </b:Author>
    </b:Author>
    <b:RefOrder>12</b:RefOrder>
  </b:Source>
  <b:Source>
    <b:Tag>Gab86</b:Tag>
    <b:SourceType>JournalArticle</b:SourceType>
    <b:Guid>{02F6638F-C041-4066-B9D3-1232A467A19E}</b:Guid>
    <b:Title>On the nature of competition with differentiated products</b:Title>
    <b:Year>1986</b:Year>
    <b:JournalName>The Economic Journal</b:JournalName>
    <b:Pages>160-172</b:Pages>
    <b:Author>
      <b:Author>
        <b:NameList>
          <b:Person>
            <b:Last>Gabszwicz J. J.</b:Last>
          </b:Person>
          <b:Person>
            <b:Last>Thisse J. F.</b:Last>
          </b:Person>
        </b:NameList>
      </b:Author>
    </b:Author>
    <b:RefOrder>13</b:RefOrder>
  </b:Source>
  <b:Source>
    <b:Tag>Bon87</b:Tag>
    <b:SourceType>JournalArticle</b:SourceType>
    <b:Guid>{EE6F3338-9C93-4D00-A373-9DB46AE8F7AA}</b:Guid>
    <b:Author>
      <b:Author>
        <b:NameList>
          <b:Person>
            <b:Last>Bonanno G.</b:Last>
          </b:Person>
        </b:NameList>
      </b:Author>
    </b:Author>
    <b:Title>Location choice, product proliferation and entry deterrence</b:Title>
    <b:JournalName>The review of economic studies</b:JournalName>
    <b:Year>1987</b:Year>
    <b:Pages>37-45</b:Pages>
    <b:Volume>54</b:Volume>
    <b:Issue>1</b:Issue>
    <b:RefOrder>14</b:RefOrder>
  </b:Source>
  <b:Source>
    <b:Tag>Mar88</b:Tag>
    <b:SourceType>JournalArticle</b:SourceType>
    <b:Guid>{207B1A09-2F38-41A3-80CC-212E0E6FE852}</b:Guid>
    <b:Title>Can price competition dominate market segmentation?</b:Title>
    <b:JournalName>The Journal of Industrial Economics</b:JournalName>
    <b:Year>1988</b:Year>
    <b:Pages>431-442</b:Pages>
    <b:Author>
      <b:Author>
        <b:NameList>
          <b:Person>
            <b:Last>Martinez-Giralt X.</b:Last>
          </b:Person>
          <b:Person>
            <b:Last>Neven D. J.</b:Last>
          </b:Person>
        </b:NameList>
      </b:Author>
    </b:Author>
    <b:RefOrder>15</b:RefOrder>
  </b:Source>
  <b:Source>
    <b:Tag>Gil93</b:Tag>
    <b:SourceType>JournalArticle</b:SourceType>
    <b:Guid>{52FCB185-F798-4D8C-9015-C98B60791141}</b:Guid>
    <b:Title>Product line rivalry with brand differentiation</b:Title>
    <b:JournalName>The Journal of Industrial Economics</b:JournalName>
    <b:Year>1993</b:Year>
    <b:Pages>223-240</b:Pages>
    <b:Author>
      <b:Author>
        <b:NameList>
          <b:Person>
            <b:Last>Gilbert R. J.</b:Last>
          </b:Person>
          <b:Person>
            <b:Last>Matutes C.</b:Last>
          </b:Person>
        </b:NameList>
      </b:Author>
    </b:Author>
    <b:RefOrder>16</b:RefOrder>
  </b:Source>
  <b:Source>
    <b:Tag>Mot93</b:Tag>
    <b:SourceType>JournalArticle</b:SourceType>
    <b:Guid>{970BF3B8-3288-439A-A79A-0B75B1950D2D}</b:Guid>
    <b:Author>
      <b:Author>
        <b:NameList>
          <b:Person>
            <b:Last>Motta M.</b:Last>
          </b:Person>
        </b:NameList>
      </b:Author>
    </b:Author>
    <b:Title>Endogenous quality choice: price vs. quantity competition</b:Title>
    <b:JournalName>The journal of industrial economics</b:JournalName>
    <b:Year>1993</b:Year>
    <b:Pages>113-131</b:Pages>
    <b:RefOrder>17</b:RefOrder>
  </b:Source>
</b:Sources>
</file>

<file path=customXml/itemProps1.xml><?xml version="1.0" encoding="utf-8"?>
<ds:datastoreItem xmlns:ds="http://schemas.openxmlformats.org/officeDocument/2006/customXml" ds:itemID="{01C47D5A-683A-4468-A57C-897C42DE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Косухина Екатерина Андреевна</dc:creator>
  <cp:keywords/>
  <dc:description/>
  <cp:lastModifiedBy>Галеева Екатерина Андреевна</cp:lastModifiedBy>
  <cp:revision>55</cp:revision>
  <dcterms:created xsi:type="dcterms:W3CDTF">2022-11-24T19:14:00Z</dcterms:created>
  <dcterms:modified xsi:type="dcterms:W3CDTF">2022-11-24T20:52:00Z</dcterms:modified>
</cp:coreProperties>
</file>