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7C" w:rsidRPr="0045047D" w:rsidRDefault="0032187C" w:rsidP="0032187C">
      <w:pPr>
        <w:jc w:val="right"/>
        <w:rPr>
          <w:b/>
          <w:sz w:val="28"/>
          <w:szCs w:val="28"/>
        </w:rPr>
      </w:pPr>
      <w:r w:rsidRPr="0045047D">
        <w:rPr>
          <w:b/>
          <w:sz w:val="28"/>
          <w:szCs w:val="28"/>
        </w:rPr>
        <w:t>Филатов А.Ю.</w:t>
      </w:r>
      <w:r>
        <w:rPr>
          <w:b/>
          <w:sz w:val="28"/>
          <w:szCs w:val="28"/>
        </w:rPr>
        <w:t>, В.В.</w:t>
      </w:r>
    </w:p>
    <w:p w:rsidR="0032187C" w:rsidRPr="0045047D" w:rsidRDefault="0032187C" w:rsidP="0032187C">
      <w:pPr>
        <w:jc w:val="right"/>
        <w:rPr>
          <w:i/>
          <w:sz w:val="28"/>
          <w:szCs w:val="28"/>
        </w:rPr>
      </w:pPr>
      <w:r w:rsidRPr="0045047D">
        <w:rPr>
          <w:i/>
          <w:sz w:val="28"/>
          <w:szCs w:val="28"/>
        </w:rPr>
        <w:t>Владивосток, ДВФУ</w:t>
      </w:r>
    </w:p>
    <w:p w:rsidR="0032187C" w:rsidRPr="00511F42" w:rsidRDefault="0032187C" w:rsidP="0032187C">
      <w:pPr>
        <w:jc w:val="right"/>
      </w:pPr>
      <w:r w:rsidRPr="00511F42">
        <w:t xml:space="preserve">alexander.filatov@gmail.com </w:t>
      </w:r>
    </w:p>
    <w:p w:rsidR="0032187C" w:rsidRPr="00511F42" w:rsidRDefault="0032187C" w:rsidP="0032187C">
      <w:pPr>
        <w:spacing w:before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Дизайн многообъектных аукционов и</w:t>
      </w:r>
    </w:p>
    <w:p w:rsidR="0032187C" w:rsidRDefault="0032187C" w:rsidP="0032187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общественное благосостояние:</w:t>
      </w:r>
    </w:p>
    <w:p w:rsidR="0032187C" w:rsidRPr="00511F42" w:rsidRDefault="0032187C" w:rsidP="0032187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экспериментальное исследование на примере распределения мест доступа в заповедниках</w:t>
      </w:r>
    </w:p>
    <w:p w:rsidR="0032187C" w:rsidRDefault="0032187C"/>
    <w:p w:rsidR="0032187C" w:rsidRDefault="0032187C" w:rsidP="0032187C">
      <w:pPr>
        <w:ind w:firstLine="709"/>
        <w:jc w:val="both"/>
      </w:pPr>
      <w:r w:rsidRPr="0032187C">
        <w:t>Многообъектные аукционы представляют собой торги, на которых предлагается множество идентичных объектов, и участники могут получить сразу несколько из них, в том числе, достаточно большое количество. На таких аукционах могут продаваться пакеты государственных ценных бумаг или акций компании при первичном публичном размещении, разрешения на обслуживание клиентов (например, на доступ в заповедники), электроэнергия на рынке «на сутки вперед</w:t>
      </w:r>
      <w:r>
        <w:t>», контекстная реклама и многое</w:t>
      </w:r>
      <w:r w:rsidRPr="0032187C">
        <w:t xml:space="preserve"> другое. Как и для аукционов, на которых продается единственный уникальный лот, для многообъектных аукционов существует множество форматов</w:t>
      </w:r>
      <w:r>
        <w:t>.</w:t>
      </w:r>
      <w:r w:rsidRPr="0032187C">
        <w:t xml:space="preserve"> </w:t>
      </w:r>
      <w:r>
        <w:t>Простейшим из них является обобщенный аукцион первой цены (</w:t>
      </w:r>
      <w:r>
        <w:rPr>
          <w:lang w:val="en-US"/>
        </w:rPr>
        <w:t>p</w:t>
      </w:r>
      <w:r w:rsidR="00E71192">
        <w:rPr>
          <w:lang w:val="en-US"/>
        </w:rPr>
        <w:t>a</w:t>
      </w:r>
      <w:r>
        <w:rPr>
          <w:lang w:val="en-US"/>
        </w:rPr>
        <w:t>y</w:t>
      </w:r>
      <w:r w:rsidRPr="0032187C">
        <w:t>-</w:t>
      </w:r>
      <w:r>
        <w:rPr>
          <w:lang w:val="en-US"/>
        </w:rPr>
        <w:t>as</w:t>
      </w:r>
      <w:r w:rsidRPr="0032187C">
        <w:t>-</w:t>
      </w:r>
      <w:r>
        <w:rPr>
          <w:lang w:val="en-US"/>
        </w:rPr>
        <w:t>bid</w:t>
      </w:r>
      <w:r w:rsidRPr="0032187C">
        <w:t xml:space="preserve"> </w:t>
      </w:r>
      <w:r>
        <w:rPr>
          <w:lang w:val="en-US"/>
        </w:rPr>
        <w:t>auction</w:t>
      </w:r>
      <w:r>
        <w:t>), на котором каждый из</w:t>
      </w:r>
      <w:r w:rsidR="00F6241F">
        <w:t xml:space="preserve"> победителей за каждую единицу</w:t>
      </w:r>
      <w:r w:rsidRPr="0032187C">
        <w:t xml:space="preserve"> </w:t>
      </w:r>
      <w:r w:rsidR="00F6241F">
        <w:t>блага платит свою собственную ставку.</w:t>
      </w:r>
      <w:r w:rsidR="00F6241F" w:rsidRPr="00F6241F">
        <w:t xml:space="preserve"> </w:t>
      </w:r>
      <w:r w:rsidR="00F6241F">
        <w:t>Очевидно, что при этом дизайне</w:t>
      </w:r>
      <w:r w:rsidR="00F6241F" w:rsidRPr="00F6241F">
        <w:t xml:space="preserve"> есть </w:t>
      </w:r>
      <w:r w:rsidR="00F6241F">
        <w:t>огромный</w:t>
      </w:r>
      <w:r w:rsidR="00F6241F" w:rsidRPr="00F6241F">
        <w:t xml:space="preserve"> стимул к занижению ставок. При этом заявки сильно зависят от представлений участников аукциона относительно действий конкурентов. И здесь очень велик шанс промахнуться, особенно если принимать во внимание нерациональное поведение</w:t>
      </w:r>
      <w:r w:rsidR="00F6241F">
        <w:t>, тем более, что оптимальную стратегию здесь отыскать непросто.</w:t>
      </w:r>
    </w:p>
    <w:p w:rsidR="00F6241F" w:rsidRDefault="00F6241F" w:rsidP="00935799">
      <w:pPr>
        <w:ind w:firstLine="709"/>
        <w:jc w:val="both"/>
      </w:pPr>
      <w:r>
        <w:t>Существует и механизм Викри-Кларка-Гровса (а также его открытая версия – аукцион Аузубеля), в котором</w:t>
      </w:r>
      <w:r w:rsidR="00935799">
        <w:t xml:space="preserve"> проблема занижения спроса решена, и</w:t>
      </w:r>
      <w:r>
        <w:t xml:space="preserve"> каждому </w:t>
      </w:r>
      <w:r w:rsidR="00935799">
        <w:t xml:space="preserve">участнику, как и в однообъектном аукционе второй цены выгодно в качестве ставок подавать свои истинные оценки. Механизм </w:t>
      </w:r>
      <w:r w:rsidR="00935799">
        <w:rPr>
          <w:lang w:val="en-US"/>
        </w:rPr>
        <w:t>VCG</w:t>
      </w:r>
      <w:r w:rsidR="00935799" w:rsidRPr="00935799">
        <w:t xml:space="preserve"> </w:t>
      </w:r>
      <w:r w:rsidR="00935799">
        <w:t>эффективен, динамически устойчив (после проведения аукциона никто не хочет в одностороннем порядке менять свою стратегию), выявляет ценности</w:t>
      </w:r>
      <w:r w:rsidR="00935799">
        <w:t>.</w:t>
      </w:r>
      <w:r w:rsidR="00935799">
        <w:t xml:space="preserve"> Однако его применение на практике </w:t>
      </w:r>
      <w:r w:rsidR="00935799">
        <w:t>ограничено</w:t>
      </w:r>
      <w:r w:rsidR="00935799">
        <w:t xml:space="preserve"> ряд</w:t>
      </w:r>
      <w:r w:rsidR="00935799">
        <w:t>ом</w:t>
      </w:r>
      <w:r w:rsidR="00935799">
        <w:t xml:space="preserve"> </w:t>
      </w:r>
      <w:r w:rsidR="00935799">
        <w:t>серьезных</w:t>
      </w:r>
      <w:r w:rsidR="00935799">
        <w:t xml:space="preserve"> недостатков.</w:t>
      </w:r>
      <w:r w:rsidR="00935799">
        <w:t xml:space="preserve"> </w:t>
      </w:r>
      <w:r w:rsidR="00935799">
        <w:t xml:space="preserve">Помимо уже возникавших в однообъектных аукционах проблем сговора, недоверия к аукционисту, фиктивных ставок добавляются еще несколько. Во-первых, серьезные вопросы может вызвать существенное различие между оценкой объекта и ценой контракта. Усугубляет </w:t>
      </w:r>
      <w:r w:rsidR="00935799">
        <w:t xml:space="preserve">проблему </w:t>
      </w:r>
      <w:r w:rsidR="00935799">
        <w:t xml:space="preserve">нетривиальность расчета этой цены, воспринимающаяся многими как черный ящик, и возможная немонотонность. В частности, </w:t>
      </w:r>
      <w:r w:rsidR="00935799">
        <w:t>иногда</w:t>
      </w:r>
      <w:r w:rsidR="00935799">
        <w:t xml:space="preserve"> </w:t>
      </w:r>
      <w:r w:rsidR="00935799">
        <w:t xml:space="preserve">участник </w:t>
      </w:r>
      <w:r w:rsidR="00935799">
        <w:t xml:space="preserve">с меньшими оценками платит существенно больше </w:t>
      </w:r>
      <w:r w:rsidR="00935799">
        <w:t>участника, чьи оценки оказываются выше</w:t>
      </w:r>
      <w:r w:rsidR="00935799">
        <w:t>. И это очень непросто объяснить.</w:t>
      </w:r>
      <w:r w:rsidR="00935799">
        <w:t xml:space="preserve"> </w:t>
      </w:r>
      <w:r w:rsidR="00935799">
        <w:t xml:space="preserve">Также непросто объяснить, что показывать истинную оценку выгодно. А </w:t>
      </w:r>
      <w:r w:rsidR="00935799">
        <w:t>значит</w:t>
      </w:r>
      <w:r w:rsidR="00935799">
        <w:t>, на практике ставки будут по-прежнему занижаться, аукционист недополучит средств</w:t>
      </w:r>
      <w:r w:rsidR="00935799">
        <w:t>, а игроки, постфак</w:t>
      </w:r>
      <w:r w:rsidR="00935799">
        <w:t>тум осознавшие свою нерациональность, уже ничего не смогут исправить – ставки сделаны и больше не принимаются.</w:t>
      </w:r>
    </w:p>
    <w:p w:rsidR="00E71192" w:rsidRDefault="00935799" w:rsidP="00935799">
      <w:pPr>
        <w:ind w:firstLine="709"/>
        <w:jc w:val="both"/>
      </w:pPr>
      <w:r>
        <w:t xml:space="preserve">В работе в рамках серии лабораторных экспериментов </w:t>
      </w:r>
      <w:r w:rsidR="00B6347F">
        <w:t xml:space="preserve">на задаче распределения мест доступа в заповедники </w:t>
      </w:r>
      <w:r w:rsidR="00B6347F" w:rsidRPr="00B6347F">
        <w:t>[</w:t>
      </w:r>
      <w:r w:rsidR="00B6347F">
        <w:t>1</w:t>
      </w:r>
      <w:r w:rsidR="00B6347F" w:rsidRPr="00B6347F">
        <w:t>]</w:t>
      </w:r>
      <w:r w:rsidR="00B6347F">
        <w:t xml:space="preserve"> анализируется влияние дизайна аукциона на общественное благосостояние. Показано, что, с одной стороны, существующ</w:t>
      </w:r>
      <w:r w:rsidR="00152B17">
        <w:t>ее</w:t>
      </w:r>
      <w:r w:rsidR="00B6347F">
        <w:t xml:space="preserve"> на данный момент </w:t>
      </w:r>
      <w:r w:rsidR="00152B17">
        <w:t>историческое распределение квот в условиях превышения спроса над предложением создает непреодолимые барьеры для новых туроператоров, желающих войти на рынок, а также не позволяет заповедникам получить столь необходимое финансирование на актуальные исследования и создание новых маршрутов и, в целом, новых туристических продуктов. С другой, если постепенно внедрять в практику распределения мест элементы аукциона, нерациональность участников, их неумение проводить нетривиальные расчеты, адаптироваться в сложных ситуациях и правильно реагировать на нерациональность других</w:t>
      </w:r>
      <w:r w:rsidR="00E71192">
        <w:t>, приводит к результатам, сильно отличающимся, причем в худшую сторону, от предписаний экономической теории.</w:t>
      </w:r>
    </w:p>
    <w:p w:rsidR="00152B17" w:rsidRDefault="00EC77C1" w:rsidP="00935799">
      <w:pPr>
        <w:ind w:firstLine="709"/>
        <w:jc w:val="both"/>
      </w:pPr>
      <w:r>
        <w:lastRenderedPageBreak/>
        <w:t>В то же время</w:t>
      </w:r>
      <w:r w:rsidR="00E71192">
        <w:t xml:space="preserve"> было показано, что по сравнению с двумя крайностями – обобщенным аукционом первой цены и ориентированным на внешние эффекты механизмом Викри-Кларка-Гровса, достаточно неплохо зарекомендовал себя аукцион единой </w:t>
      </w:r>
      <w:r w:rsidR="00E71192" w:rsidRPr="00E71192">
        <w:t>(</w:t>
      </w:r>
      <w:r w:rsidR="00E71192" w:rsidRPr="00E71192">
        <w:rPr>
          <w:i/>
          <w:lang w:val="en-US"/>
        </w:rPr>
        <w:t>n</w:t>
      </w:r>
      <w:r w:rsidR="00E71192">
        <w:t>+1)</w:t>
      </w:r>
      <w:r w:rsidR="00E71192" w:rsidRPr="00E71192">
        <w:t>-</w:t>
      </w:r>
      <w:r w:rsidR="00E71192">
        <w:t>цены, который существенно проще</w:t>
      </w:r>
      <w:r w:rsidR="00E71192" w:rsidRPr="00E71192">
        <w:t xml:space="preserve"> </w:t>
      </w:r>
      <w:r w:rsidR="00E71192">
        <w:t xml:space="preserve">и понятнее, чем </w:t>
      </w:r>
      <w:r w:rsidR="00E71192">
        <w:rPr>
          <w:lang w:val="en-US"/>
        </w:rPr>
        <w:t>VCG</w:t>
      </w:r>
      <w:r w:rsidR="00E71192">
        <w:t xml:space="preserve">, однако не имеет столь явных стимулов к занижению ставок, как аукцион </w:t>
      </w:r>
      <w:r w:rsidR="00E71192">
        <w:rPr>
          <w:lang w:val="en-US"/>
        </w:rPr>
        <w:t>GFP</w:t>
      </w:r>
      <w:r w:rsidR="00E71192" w:rsidRPr="00E71192">
        <w:t>.</w:t>
      </w:r>
      <w:r>
        <w:t xml:space="preserve"> При этом </w:t>
      </w:r>
      <w:r w:rsidRPr="00EC77C1">
        <w:t xml:space="preserve">при большом количестве </w:t>
      </w:r>
      <w:r>
        <w:t>туроператоров</w:t>
      </w:r>
      <w:r w:rsidRPr="00EC77C1">
        <w:t xml:space="preserve"> и распределяемых между ними мест доступа исчезает традиционные для аукциона Викри проблемы возможного сговора участников и оппортунизма аукциониста.</w:t>
      </w:r>
      <w:r>
        <w:t xml:space="preserve"> Более того, даже нерациональное поведение участников (как их избыточная конкуренция, так и низкая готовность платить за получение квот), наблюдавшееся в некоторых экспериментах, не приводило к уменьшению общественного благосостояния, а лишь к некоторому его перераспределению между участниками взаимодействия.</w:t>
      </w:r>
    </w:p>
    <w:p w:rsidR="00EC77C1" w:rsidRPr="00EC77C1" w:rsidRDefault="00EC77C1" w:rsidP="00EC77C1">
      <w:pPr>
        <w:ind w:firstLine="709"/>
        <w:jc w:val="both"/>
        <w:rPr>
          <w:shd w:val="clear" w:color="auto" w:fill="FEFEFE"/>
        </w:rPr>
      </w:pPr>
      <w:r>
        <w:t>В табл.1-3</w:t>
      </w:r>
      <w:r w:rsidRPr="00EC77C1">
        <w:t xml:space="preserve"> </w:t>
      </w:r>
      <w:r w:rsidRPr="00EC77C1">
        <w:t xml:space="preserve">агрегируем информацию о </w:t>
      </w:r>
      <w:r>
        <w:t>выигрышах сторон</w:t>
      </w:r>
      <w:r w:rsidRPr="00EC77C1">
        <w:t xml:space="preserve"> по итогам 3 экспериментов</w:t>
      </w:r>
      <w:r w:rsidR="000E084B">
        <w:t>, проводимых как со студентами магистерских программ ДВФУ, так и с представителями туроператоров, участниками международного туристского форума.</w:t>
      </w:r>
      <w:r>
        <w:t xml:space="preserve"> </w:t>
      </w:r>
      <w:r w:rsidR="000E084B">
        <w:t>В таблицах сопоставлены</w:t>
      </w:r>
      <w:r w:rsidRPr="00EC77C1">
        <w:rPr>
          <w:shd w:val="clear" w:color="auto" w:fill="FEFEFE"/>
        </w:rPr>
        <w:t xml:space="preserve"> 4 варианта – нормативное распределение мест</w:t>
      </w:r>
      <w:r w:rsidR="000E084B">
        <w:rPr>
          <w:shd w:val="clear" w:color="auto" w:fill="FEFEFE"/>
        </w:rPr>
        <w:t xml:space="preserve"> между 4 крупнейшими туроператорами в соотношении 40%, 30%, 20% и 10%</w:t>
      </w:r>
      <w:r w:rsidRPr="00EC77C1">
        <w:rPr>
          <w:shd w:val="clear" w:color="auto" w:fill="FEFEFE"/>
        </w:rPr>
        <w:t xml:space="preserve">, реально реализовавшийся аукцион </w:t>
      </w:r>
      <w:r w:rsidR="000E084B">
        <w:rPr>
          <w:shd w:val="clear" w:color="auto" w:fill="FEFEFE"/>
        </w:rPr>
        <w:t>(</w:t>
      </w:r>
      <w:r w:rsidR="000E084B" w:rsidRPr="000E084B">
        <w:rPr>
          <w:i/>
          <w:shd w:val="clear" w:color="auto" w:fill="FEFEFE"/>
          <w:lang w:val="en-US"/>
        </w:rPr>
        <w:t>n</w:t>
      </w:r>
      <w:r w:rsidR="000E084B" w:rsidRPr="000E084B">
        <w:rPr>
          <w:shd w:val="clear" w:color="auto" w:fill="FEFEFE"/>
        </w:rPr>
        <w:t>+1)</w:t>
      </w:r>
      <w:r w:rsidR="000E084B">
        <w:rPr>
          <w:shd w:val="clear" w:color="auto" w:fill="FEFEFE"/>
        </w:rPr>
        <w:t xml:space="preserve">-цены </w:t>
      </w:r>
      <w:r w:rsidRPr="00EC77C1">
        <w:rPr>
          <w:shd w:val="clear" w:color="auto" w:fill="FEFEFE"/>
        </w:rPr>
        <w:t xml:space="preserve">со всей его </w:t>
      </w:r>
      <w:r w:rsidR="000E084B">
        <w:rPr>
          <w:shd w:val="clear" w:color="auto" w:fill="FEFEFE"/>
        </w:rPr>
        <w:t xml:space="preserve">реализовавшейся </w:t>
      </w:r>
      <w:r w:rsidRPr="00EC77C1">
        <w:rPr>
          <w:shd w:val="clear" w:color="auto" w:fill="FEFEFE"/>
        </w:rPr>
        <w:t xml:space="preserve">неэффективностью, вариант с оптимальным поведением участников аукциона на фазе установления </w:t>
      </w:r>
      <w:r w:rsidR="000E084B">
        <w:rPr>
          <w:shd w:val="clear" w:color="auto" w:fill="FEFEFE"/>
        </w:rPr>
        <w:t xml:space="preserve">розничных </w:t>
      </w:r>
      <w:r w:rsidRPr="00EC77C1">
        <w:rPr>
          <w:shd w:val="clear" w:color="auto" w:fill="FEFEFE"/>
        </w:rPr>
        <w:t>цен и полностью оптимальное поведение</w:t>
      </w:r>
      <w:r w:rsidR="000E084B">
        <w:rPr>
          <w:shd w:val="clear" w:color="auto" w:fill="FEFEFE"/>
        </w:rPr>
        <w:t>, к которому должны постепенно</w:t>
      </w:r>
      <w:bookmarkStart w:id="0" w:name="_GoBack"/>
      <w:bookmarkEnd w:id="0"/>
      <w:r w:rsidR="000E084B">
        <w:rPr>
          <w:shd w:val="clear" w:color="auto" w:fill="FEFEFE"/>
        </w:rPr>
        <w:t xml:space="preserve"> приходить участники в процессе обучения, в том числе, с использованием демонстрационной версии системы.</w:t>
      </w:r>
    </w:p>
    <w:p w:rsidR="00EC77C1" w:rsidRPr="00EC77C1" w:rsidRDefault="00EC77C1" w:rsidP="000E084B">
      <w:pPr>
        <w:jc w:val="right"/>
      </w:pPr>
      <w:r w:rsidRPr="00EC77C1">
        <w:rPr>
          <w:b/>
        </w:rPr>
        <w:t>Таблица 1</w:t>
      </w:r>
    </w:p>
    <w:p w:rsidR="00EC77C1" w:rsidRPr="00EC77C1" w:rsidRDefault="00EC77C1" w:rsidP="00EC77C1">
      <w:pPr>
        <w:spacing w:after="120"/>
        <w:jc w:val="center"/>
      </w:pPr>
      <w:r w:rsidRPr="00EC77C1">
        <w:t>Сопоставление разных моделей по полученным прибылям. Эксперимент 1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5280"/>
        <w:gridCol w:w="1302"/>
        <w:gridCol w:w="1249"/>
        <w:gridCol w:w="1241"/>
      </w:tblGrid>
      <w:tr w:rsidR="00EC77C1" w:rsidRPr="00EC77C1" w:rsidTr="00210F62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</w:p>
        </w:tc>
        <w:tc>
          <w:tcPr>
            <w:tcW w:w="1302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b/>
              </w:rPr>
            </w:pPr>
            <w:proofErr w:type="spellStart"/>
            <w:r w:rsidRPr="00EC77C1">
              <w:rPr>
                <w:b/>
              </w:rPr>
              <w:t>Туропер</w:t>
            </w:r>
            <w:proofErr w:type="spellEnd"/>
            <w:r w:rsidRPr="00EC77C1">
              <w:rPr>
                <w:b/>
              </w:rPr>
              <w:t>.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b/>
              </w:rPr>
            </w:pPr>
            <w:proofErr w:type="spellStart"/>
            <w:r w:rsidRPr="00EC77C1">
              <w:rPr>
                <w:b/>
              </w:rPr>
              <w:t>Заповед</w:t>
            </w:r>
            <w:proofErr w:type="spellEnd"/>
            <w:r w:rsidRPr="00EC77C1">
              <w:rPr>
                <w:b/>
              </w:rPr>
              <w:t>.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b/>
              </w:rPr>
            </w:pPr>
            <w:r w:rsidRPr="00EC77C1">
              <w:rPr>
                <w:b/>
              </w:rPr>
              <w:t>Сумма</w:t>
            </w:r>
          </w:p>
        </w:tc>
      </w:tr>
      <w:tr w:rsidR="00EC77C1" w:rsidRPr="00EC77C1" w:rsidTr="00210F62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  <w:r w:rsidRPr="00EC77C1">
              <w:rPr>
                <w:b/>
              </w:rPr>
              <w:t>Аукцион, оптимальное поведение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210F62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7273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5506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12779</w:t>
            </w:r>
          </w:p>
        </w:tc>
      </w:tr>
      <w:tr w:rsidR="00EC77C1" w:rsidRPr="00EC77C1" w:rsidTr="00210F62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  <w:r w:rsidRPr="00EC77C1">
              <w:rPr>
                <w:b/>
              </w:rPr>
              <w:t>Аукцион, оптимальное ценообразование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210F62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4342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7000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11342</w:t>
            </w:r>
          </w:p>
        </w:tc>
      </w:tr>
      <w:tr w:rsidR="00EC77C1" w:rsidRPr="00EC77C1" w:rsidTr="00210F62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  <w:r w:rsidRPr="00EC77C1">
              <w:rPr>
                <w:b/>
              </w:rPr>
              <w:t>Аукцион, реальное поведение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210F62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3173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7000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10173</w:t>
            </w:r>
          </w:p>
        </w:tc>
      </w:tr>
      <w:tr w:rsidR="00EC77C1" w:rsidRPr="00EC77C1" w:rsidTr="00210F62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  <w:r w:rsidRPr="00EC77C1">
              <w:rPr>
                <w:b/>
              </w:rPr>
              <w:t xml:space="preserve">Отсутствие аукциона, </w:t>
            </w:r>
            <w:proofErr w:type="spellStart"/>
            <w:r w:rsidRPr="00EC77C1">
              <w:rPr>
                <w:b/>
              </w:rPr>
              <w:t>оптим</w:t>
            </w:r>
            <w:proofErr w:type="spellEnd"/>
            <w:r w:rsidRPr="00EC77C1">
              <w:rPr>
                <w:b/>
              </w:rPr>
              <w:t xml:space="preserve">. </w:t>
            </w:r>
            <w:proofErr w:type="spellStart"/>
            <w:r w:rsidRPr="00EC77C1">
              <w:rPr>
                <w:b/>
              </w:rPr>
              <w:t>ценообраз</w:t>
            </w:r>
            <w:proofErr w:type="spellEnd"/>
            <w:r w:rsidRPr="00EC77C1">
              <w:rPr>
                <w:b/>
              </w:rPr>
              <w:t>.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210F62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6561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0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6561</w:t>
            </w:r>
          </w:p>
        </w:tc>
      </w:tr>
    </w:tbl>
    <w:p w:rsidR="00EC77C1" w:rsidRPr="00EC77C1" w:rsidRDefault="00EC77C1" w:rsidP="00EC77C1">
      <w:pPr>
        <w:spacing w:before="120"/>
        <w:jc w:val="right"/>
      </w:pPr>
      <w:r w:rsidRPr="00EC77C1">
        <w:rPr>
          <w:b/>
        </w:rPr>
        <w:t>Таблица 2</w:t>
      </w:r>
    </w:p>
    <w:p w:rsidR="00EC77C1" w:rsidRPr="00EC77C1" w:rsidRDefault="00EC77C1" w:rsidP="00EC77C1">
      <w:pPr>
        <w:spacing w:after="120"/>
        <w:jc w:val="center"/>
      </w:pPr>
      <w:r w:rsidRPr="00EC77C1">
        <w:t>Сопоставление разных моделей по полученным прибылям. Эксперимент 2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5352"/>
        <w:gridCol w:w="1248"/>
        <w:gridCol w:w="1227"/>
        <w:gridCol w:w="1245"/>
      </w:tblGrid>
      <w:tr w:rsidR="00EC77C1" w:rsidRPr="00EC77C1" w:rsidTr="00210F62">
        <w:tc>
          <w:tcPr>
            <w:tcW w:w="5352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b/>
              </w:rPr>
            </w:pPr>
            <w:proofErr w:type="spellStart"/>
            <w:r w:rsidRPr="00EC77C1">
              <w:rPr>
                <w:b/>
              </w:rPr>
              <w:t>Туропер</w:t>
            </w:r>
            <w:proofErr w:type="spellEnd"/>
            <w:r w:rsidRPr="00EC77C1">
              <w:rPr>
                <w:b/>
              </w:rPr>
              <w:t>.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b/>
              </w:rPr>
            </w:pPr>
            <w:proofErr w:type="spellStart"/>
            <w:r w:rsidRPr="00EC77C1">
              <w:rPr>
                <w:b/>
              </w:rPr>
              <w:t>Заповед</w:t>
            </w:r>
            <w:proofErr w:type="spellEnd"/>
            <w:r w:rsidRPr="00EC77C1">
              <w:rPr>
                <w:b/>
              </w:rPr>
              <w:t>.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b/>
              </w:rPr>
            </w:pPr>
            <w:r w:rsidRPr="00EC77C1">
              <w:rPr>
                <w:b/>
              </w:rPr>
              <w:t>Сумма</w:t>
            </w:r>
          </w:p>
        </w:tc>
      </w:tr>
      <w:tr w:rsidR="00EC77C1" w:rsidRPr="00EC77C1" w:rsidTr="00210F62">
        <w:tc>
          <w:tcPr>
            <w:tcW w:w="5352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  <w:r w:rsidRPr="00EC77C1">
              <w:rPr>
                <w:b/>
              </w:rPr>
              <w:t>Аукцион, оптимальное поведение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210F62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7273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lang w:val="en-US"/>
              </w:rPr>
            </w:pPr>
            <w:r w:rsidRPr="00EC77C1">
              <w:rPr>
                <w:lang w:val="en-US"/>
              </w:rPr>
              <w:t>5506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lang w:val="en-US"/>
              </w:rPr>
            </w:pPr>
            <w:r w:rsidRPr="00EC77C1">
              <w:rPr>
                <w:lang w:val="en-US"/>
              </w:rPr>
              <w:t>12779</w:t>
            </w:r>
          </w:p>
        </w:tc>
      </w:tr>
      <w:tr w:rsidR="00EC77C1" w:rsidRPr="00EC77C1" w:rsidTr="00210F62">
        <w:tc>
          <w:tcPr>
            <w:tcW w:w="5352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  <w:r w:rsidRPr="00EC77C1">
              <w:rPr>
                <w:b/>
              </w:rPr>
              <w:t>Аукцион, оптимальное ценообразование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210F62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  <w:lang w:val="en-US"/>
              </w:rPr>
              <w:t>6282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lang w:val="en-US"/>
              </w:rPr>
            </w:pPr>
            <w:r w:rsidRPr="00EC77C1">
              <w:rPr>
                <w:lang w:val="en-US"/>
              </w:rPr>
              <w:t>2500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rPr>
                <w:lang w:val="en-US"/>
              </w:rPr>
              <w:t>878</w:t>
            </w:r>
            <w:r w:rsidRPr="00EC77C1">
              <w:t>2</w:t>
            </w:r>
          </w:p>
        </w:tc>
      </w:tr>
      <w:tr w:rsidR="00EC77C1" w:rsidRPr="00EC77C1" w:rsidTr="00210F62">
        <w:tc>
          <w:tcPr>
            <w:tcW w:w="5352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  <w:r w:rsidRPr="00EC77C1">
              <w:rPr>
                <w:b/>
              </w:rPr>
              <w:t>Аукцион, реальное поведение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210F62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5226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2500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rPr>
                <w:lang w:val="en-US"/>
              </w:rPr>
              <w:t>7726</w:t>
            </w:r>
          </w:p>
        </w:tc>
      </w:tr>
      <w:tr w:rsidR="00EC77C1" w:rsidRPr="00EC77C1" w:rsidTr="00210F62">
        <w:tc>
          <w:tcPr>
            <w:tcW w:w="5352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  <w:r w:rsidRPr="00EC77C1">
              <w:rPr>
                <w:b/>
              </w:rPr>
              <w:t xml:space="preserve">Отсутствие аукциона, </w:t>
            </w:r>
            <w:proofErr w:type="spellStart"/>
            <w:r w:rsidRPr="00EC77C1">
              <w:rPr>
                <w:b/>
              </w:rPr>
              <w:t>оптим</w:t>
            </w:r>
            <w:proofErr w:type="spellEnd"/>
            <w:r w:rsidRPr="00EC77C1">
              <w:rPr>
                <w:b/>
              </w:rPr>
              <w:t xml:space="preserve">. </w:t>
            </w:r>
            <w:proofErr w:type="spellStart"/>
            <w:r w:rsidRPr="00EC77C1">
              <w:rPr>
                <w:b/>
              </w:rPr>
              <w:t>ценообраз</w:t>
            </w:r>
            <w:proofErr w:type="spellEnd"/>
            <w:r w:rsidRPr="00EC77C1">
              <w:rPr>
                <w:b/>
              </w:rPr>
              <w:t>.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210F62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6561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0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6561</w:t>
            </w:r>
          </w:p>
        </w:tc>
      </w:tr>
    </w:tbl>
    <w:p w:rsidR="00EC77C1" w:rsidRPr="00EC77C1" w:rsidRDefault="00EC77C1" w:rsidP="00EC77C1">
      <w:pPr>
        <w:spacing w:before="120"/>
        <w:jc w:val="right"/>
      </w:pPr>
      <w:r w:rsidRPr="00EC77C1">
        <w:rPr>
          <w:b/>
        </w:rPr>
        <w:t>Таблица 3</w:t>
      </w:r>
    </w:p>
    <w:p w:rsidR="00EC77C1" w:rsidRPr="00EC77C1" w:rsidRDefault="00EC77C1" w:rsidP="00EC77C1">
      <w:pPr>
        <w:spacing w:after="120"/>
        <w:jc w:val="center"/>
      </w:pPr>
      <w:r w:rsidRPr="00EC77C1">
        <w:t>Сопоставление разных моделей по полученным прибылям. Эксперимент 3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5280"/>
        <w:gridCol w:w="1302"/>
        <w:gridCol w:w="1249"/>
        <w:gridCol w:w="1241"/>
      </w:tblGrid>
      <w:tr w:rsidR="00EC77C1" w:rsidRPr="00EC77C1" w:rsidTr="00210F62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</w:p>
        </w:tc>
        <w:tc>
          <w:tcPr>
            <w:tcW w:w="1302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b/>
              </w:rPr>
            </w:pPr>
            <w:proofErr w:type="spellStart"/>
            <w:r w:rsidRPr="00EC77C1">
              <w:rPr>
                <w:b/>
              </w:rPr>
              <w:t>Туропер</w:t>
            </w:r>
            <w:proofErr w:type="spellEnd"/>
            <w:r w:rsidRPr="00EC77C1">
              <w:rPr>
                <w:b/>
              </w:rPr>
              <w:t>.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b/>
              </w:rPr>
            </w:pPr>
            <w:proofErr w:type="spellStart"/>
            <w:r w:rsidRPr="00EC77C1">
              <w:rPr>
                <w:b/>
              </w:rPr>
              <w:t>Заповед</w:t>
            </w:r>
            <w:proofErr w:type="spellEnd"/>
            <w:r w:rsidRPr="00EC77C1">
              <w:rPr>
                <w:b/>
              </w:rPr>
              <w:t>.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b/>
              </w:rPr>
            </w:pPr>
            <w:r w:rsidRPr="00EC77C1">
              <w:rPr>
                <w:b/>
              </w:rPr>
              <w:t>Сумма</w:t>
            </w:r>
          </w:p>
        </w:tc>
      </w:tr>
      <w:tr w:rsidR="00EC77C1" w:rsidRPr="00EC77C1" w:rsidTr="00210F62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  <w:r w:rsidRPr="00EC77C1">
              <w:rPr>
                <w:b/>
              </w:rPr>
              <w:t>Аукцион, оптимальное поведение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210F62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7273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lang w:val="en-US"/>
              </w:rPr>
            </w:pPr>
            <w:r w:rsidRPr="00EC77C1">
              <w:rPr>
                <w:lang w:val="en-US"/>
              </w:rPr>
              <w:t>5506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  <w:rPr>
                <w:lang w:val="en-US"/>
              </w:rPr>
            </w:pPr>
            <w:r w:rsidRPr="00EC77C1">
              <w:rPr>
                <w:lang w:val="en-US"/>
              </w:rPr>
              <w:t>12779</w:t>
            </w:r>
          </w:p>
        </w:tc>
      </w:tr>
      <w:tr w:rsidR="00EC77C1" w:rsidRPr="00EC77C1" w:rsidTr="00210F62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  <w:r w:rsidRPr="00EC77C1">
              <w:rPr>
                <w:b/>
              </w:rPr>
              <w:t>Аукцион, оптимальное ценообразование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210F62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8714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1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8715</w:t>
            </w:r>
          </w:p>
        </w:tc>
      </w:tr>
      <w:tr w:rsidR="00EC77C1" w:rsidRPr="00EC77C1" w:rsidTr="00210F62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  <w:r w:rsidRPr="00EC77C1">
              <w:rPr>
                <w:b/>
              </w:rPr>
              <w:t>Аукцион, реальное поведение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210F62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7306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1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7307</w:t>
            </w:r>
          </w:p>
        </w:tc>
      </w:tr>
      <w:tr w:rsidR="00EC77C1" w:rsidRPr="00EC77C1" w:rsidTr="00210F62">
        <w:tc>
          <w:tcPr>
            <w:tcW w:w="5280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rPr>
                <w:b/>
              </w:rPr>
            </w:pPr>
            <w:r w:rsidRPr="00EC77C1">
              <w:rPr>
                <w:b/>
              </w:rPr>
              <w:t xml:space="preserve">Отсутствие аукциона, </w:t>
            </w:r>
            <w:proofErr w:type="spellStart"/>
            <w:r w:rsidRPr="00EC77C1">
              <w:rPr>
                <w:b/>
              </w:rPr>
              <w:t>оптим</w:t>
            </w:r>
            <w:proofErr w:type="spellEnd"/>
            <w:r w:rsidRPr="00EC77C1">
              <w:rPr>
                <w:b/>
              </w:rPr>
              <w:t xml:space="preserve">. </w:t>
            </w:r>
            <w:proofErr w:type="spellStart"/>
            <w:r w:rsidRPr="00EC77C1">
              <w:rPr>
                <w:b/>
              </w:rPr>
              <w:t>ценообраз</w:t>
            </w:r>
            <w:proofErr w:type="spellEnd"/>
            <w:r w:rsidRPr="00EC77C1">
              <w:rPr>
                <w:b/>
              </w:rPr>
              <w:t>.</w:t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EC77C1" w:rsidRPr="00EC77C1" w:rsidRDefault="00EC77C1" w:rsidP="00210F62">
            <w:pPr>
              <w:jc w:val="center"/>
              <w:rPr>
                <w:color w:val="000000"/>
              </w:rPr>
            </w:pPr>
            <w:r w:rsidRPr="00EC77C1">
              <w:rPr>
                <w:color w:val="000000"/>
              </w:rPr>
              <w:t>6561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0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</w:tcPr>
          <w:p w:rsidR="00EC77C1" w:rsidRPr="00EC77C1" w:rsidRDefault="00EC77C1" w:rsidP="00210F62">
            <w:pPr>
              <w:jc w:val="center"/>
            </w:pPr>
            <w:r w:rsidRPr="00EC77C1">
              <w:t>6561</w:t>
            </w:r>
          </w:p>
        </w:tc>
      </w:tr>
    </w:tbl>
    <w:p w:rsidR="00B6347F" w:rsidRDefault="00B6347F" w:rsidP="00935799">
      <w:pPr>
        <w:ind w:firstLine="709"/>
        <w:jc w:val="both"/>
      </w:pPr>
    </w:p>
    <w:p w:rsidR="00B6347F" w:rsidRPr="00B6347F" w:rsidRDefault="00B6347F" w:rsidP="00935799">
      <w:pPr>
        <w:ind w:firstLine="709"/>
        <w:jc w:val="both"/>
        <w:rPr>
          <w:b/>
        </w:rPr>
      </w:pPr>
      <w:r w:rsidRPr="00B6347F">
        <w:rPr>
          <w:b/>
        </w:rPr>
        <w:t>Список литературы:</w:t>
      </w:r>
    </w:p>
    <w:p w:rsidR="00B6347F" w:rsidRPr="00B6347F" w:rsidRDefault="00B6347F" w:rsidP="00935799">
      <w:pPr>
        <w:ind w:firstLine="709"/>
        <w:jc w:val="both"/>
      </w:pPr>
      <w:r>
        <w:t xml:space="preserve">1. </w:t>
      </w:r>
      <w:r w:rsidRPr="00B6347F">
        <w:t>Авдеева Д.В., Филатов А.Ю. Аукцион резервирования мест доступа в заповедниках: теоретическое и экспериментальное исследование // «Известия ДВФУ. Экономика и управление», 2019, №4, с.136-151.</w:t>
      </w:r>
    </w:p>
    <w:sectPr w:rsidR="00B6347F" w:rsidRPr="00B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7C"/>
    <w:rsid w:val="000E084B"/>
    <w:rsid w:val="00152B17"/>
    <w:rsid w:val="0032187C"/>
    <w:rsid w:val="003841AC"/>
    <w:rsid w:val="00935799"/>
    <w:rsid w:val="00B6347F"/>
    <w:rsid w:val="00E71192"/>
    <w:rsid w:val="00EC77C1"/>
    <w:rsid w:val="00F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F9AA"/>
  <w15:chartTrackingRefBased/>
  <w15:docId w15:val="{6A2BDADE-6C7B-475D-9809-28726239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7F"/>
    <w:pPr>
      <w:ind w:left="720"/>
      <w:contextualSpacing/>
    </w:pPr>
  </w:style>
  <w:style w:type="table" w:styleId="a4">
    <w:name w:val="Table Grid"/>
    <w:basedOn w:val="a1"/>
    <w:uiPriority w:val="39"/>
    <w:rsid w:val="00EC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Александр Юрьевич</dc:creator>
  <cp:keywords/>
  <dc:description/>
  <cp:lastModifiedBy>Филатов Александр Юрьевич</cp:lastModifiedBy>
  <cp:revision>1</cp:revision>
  <dcterms:created xsi:type="dcterms:W3CDTF">2021-12-19T03:30:00Z</dcterms:created>
  <dcterms:modified xsi:type="dcterms:W3CDTF">2021-12-19T04:54:00Z</dcterms:modified>
</cp:coreProperties>
</file>