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05" w:rsidRPr="00A53705" w:rsidRDefault="002F0487" w:rsidP="00A53705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Изучение принципов </w:t>
      </w:r>
      <w:r>
        <w:rPr>
          <w:rFonts w:ascii="Times New Roman" w:eastAsia="Gulim" w:hAnsi="Times New Roman" w:cs="Times New Roman"/>
          <w:color w:val="000000"/>
          <w:sz w:val="28"/>
        </w:rPr>
        <w:t>ESG</w:t>
      </w:r>
      <w:r w:rsidRPr="002F048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 гидроэнергетике. 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Отраслевые аспекты   декарбонизации и жизненный цикл.</w:t>
      </w:r>
    </w:p>
    <w:p w:rsidR="00A53705" w:rsidRDefault="00A53705" w:rsidP="00A53705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Аким М.Э</w:t>
      </w:r>
      <w:r w:rsidR="002F0487">
        <w:rPr>
          <w:rFonts w:ascii="Times New Roman" w:eastAsia="Gulim" w:hAnsi="Times New Roman" w:cs="Times New Roman"/>
          <w:color w:val="000000"/>
          <w:sz w:val="28"/>
          <w:lang w:val="ru-RU"/>
        </w:rPr>
        <w:t>.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, Гавенко Е.А., Высшая школа бизнеса, НИУ ВШЭ</w:t>
      </w:r>
    </w:p>
    <w:p w:rsidR="008F41E6" w:rsidRDefault="00B550F0" w:rsidP="008F41E6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Изучены траектории развития гидроэнергетических компаний с учётом международной </w:t>
      </w:r>
      <w:r>
        <w:rPr>
          <w:rFonts w:ascii="Times New Roman" w:eastAsia="Gulim" w:hAnsi="Times New Roman" w:cs="Times New Roman"/>
          <w:color w:val="000000"/>
          <w:sz w:val="28"/>
        </w:rPr>
        <w:t>ESG</w:t>
      </w:r>
      <w:r w:rsidRPr="000B5EB1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повестки, а также </w:t>
      </w:r>
      <w:r w:rsidRPr="00C72009">
        <w:rPr>
          <w:rFonts w:ascii="Times New Roman" w:eastAsia="Gulim" w:hAnsi="Times New Roman" w:cs="Times New Roman"/>
          <w:color w:val="000000"/>
          <w:sz w:val="28"/>
          <w:lang w:val="ru-RU"/>
        </w:rPr>
        <w:t>проанализ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ированы</w:t>
      </w:r>
      <w:r w:rsidRPr="00C72009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вектор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ы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развития в данном направлении</w:t>
      </w:r>
      <w:r w:rsidR="000F60E3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 сравнении с</w:t>
      </w:r>
      <w:r w:rsidR="000F60E3" w:rsidRPr="000F60E3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сектор</w:t>
      </w:r>
      <w:r w:rsidR="000F60E3">
        <w:rPr>
          <w:rFonts w:ascii="Times New Roman" w:eastAsia="Gulim" w:hAnsi="Times New Roman" w:cs="Times New Roman"/>
          <w:color w:val="000000"/>
          <w:sz w:val="28"/>
          <w:lang w:val="ru-RU"/>
        </w:rPr>
        <w:t>ом</w:t>
      </w:r>
      <w:r w:rsidR="000F60E3" w:rsidRPr="000F60E3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возобновляемых источников электроэнергии в целом.</w:t>
      </w:r>
    </w:p>
    <w:p w:rsidR="008F41E6" w:rsidRDefault="00A53705" w:rsidP="008F41E6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В рамках повестки ESG и устойчивого развития многи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е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стран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ы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уделяют особое внимание</w:t>
      </w:r>
      <w:r w:rsidR="002F048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вопрос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у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энергоперехода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и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«зеленой»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повестке, что отражается в существовании методологий оценки и релевантных исследований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. В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Российской Федерации существует большой потенциал раз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вития в этом направлении. </w:t>
      </w:r>
      <w:r w:rsidR="008F41E6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Известны многочисленные работы, анализирующие 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повестку альтернативной и </w:t>
      </w:r>
      <w:r w:rsidR="008F41E6">
        <w:rPr>
          <w:rFonts w:ascii="Times New Roman" w:eastAsia="Gulim" w:hAnsi="Times New Roman" w:cs="Times New Roman"/>
          <w:color w:val="000000"/>
          <w:sz w:val="28"/>
          <w:lang w:val="ru-RU"/>
        </w:rPr>
        <w:t>«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зелёной</w:t>
      </w:r>
      <w:r w:rsidR="008F41E6">
        <w:rPr>
          <w:rFonts w:ascii="Times New Roman" w:eastAsia="Gulim" w:hAnsi="Times New Roman" w:cs="Times New Roman"/>
          <w:color w:val="000000"/>
          <w:sz w:val="28"/>
          <w:lang w:val="ru-RU"/>
        </w:rPr>
        <w:t>»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энергетики, положительные и отрицательные последствия её использования. 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В д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>анн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ом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>доклад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е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рассм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отрено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использование возобновляемых или альтернативных источников энергии</w:t>
      </w:r>
      <w:r w:rsidR="008F41E6">
        <w:rPr>
          <w:rFonts w:ascii="Times New Roman" w:eastAsia="Gulim" w:hAnsi="Times New Roman" w:cs="Times New Roman"/>
          <w:color w:val="000000"/>
          <w:sz w:val="28"/>
          <w:lang w:val="ru-RU"/>
        </w:rPr>
        <w:t>, в частности гидроэнергетики,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 рамках процесса декарбонизации и энергоперехода. 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Г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идроэнергетика получила широкое распространение ещё в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A051E2">
        <w:rPr>
          <w:rFonts w:ascii="Times New Roman" w:eastAsia="Gulim" w:hAnsi="Times New Roman" w:cs="Times New Roman"/>
          <w:color w:val="000000"/>
          <w:sz w:val="28"/>
        </w:rPr>
        <w:t>XIX</w:t>
      </w:r>
      <w:r w:rsidR="00A051E2" w:rsidRPr="00870008">
        <w:rPr>
          <w:rFonts w:ascii="Times New Roman" w:eastAsia="Gulim" w:hAnsi="Times New Roman" w:cs="Times New Roman"/>
          <w:color w:val="000000"/>
          <w:sz w:val="28"/>
          <w:lang w:val="ru-RU"/>
        </w:rPr>
        <w:t>-</w:t>
      </w:r>
      <w:r w:rsidR="00A051E2">
        <w:rPr>
          <w:rFonts w:ascii="Times New Roman" w:eastAsia="Gulim" w:hAnsi="Times New Roman" w:cs="Times New Roman"/>
          <w:color w:val="000000"/>
          <w:sz w:val="28"/>
        </w:rPr>
        <w:t>XX</w:t>
      </w:r>
      <w:r w:rsidR="00A051E2" w:rsidRPr="00870008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вв.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ода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является возобновляемым источником энергии в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о многих 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стран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ах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мира, 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но 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вопрос о последствиях её использования </w:t>
      </w:r>
      <w:r w:rsidR="007F0C19">
        <w:rPr>
          <w:rFonts w:ascii="Times New Roman" w:eastAsia="Gulim" w:hAnsi="Times New Roman" w:cs="Times New Roman"/>
          <w:color w:val="000000"/>
          <w:sz w:val="28"/>
          <w:lang w:val="ru-RU"/>
        </w:rPr>
        <w:t>пока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остаётся предметом исследований, в том числе и в </w:t>
      </w:r>
      <w:r w:rsidR="008F41E6">
        <w:rPr>
          <w:rFonts w:ascii="Times New Roman" w:eastAsia="Gulim" w:hAnsi="Times New Roman" w:cs="Times New Roman"/>
          <w:color w:val="000000"/>
          <w:sz w:val="28"/>
          <w:lang w:val="ru-RU"/>
        </w:rPr>
        <w:t>области менеджмента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. </w:t>
      </w:r>
    </w:p>
    <w:p w:rsidR="00B550F0" w:rsidRDefault="007F0C19" w:rsidP="00A53705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Зачастую 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 контексте гидроэнергетики речь идёт о её влиянии на социальный и экологический факторы, затрагиваются выбросы Охвата 3, которые позволяют лучше понять реальный комплексный экологический эффект от </w:t>
      </w:r>
      <w:r w:rsidR="00DF52A3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водохранилищ</w:t>
      </w:r>
      <w:r w:rsidR="00DF52A3">
        <w:rPr>
          <w:rFonts w:ascii="Times New Roman" w:eastAsia="Gulim" w:hAnsi="Times New Roman" w:cs="Times New Roman"/>
          <w:color w:val="000000"/>
          <w:sz w:val="28"/>
          <w:lang w:val="ru-RU"/>
        </w:rPr>
        <w:t>,</w:t>
      </w:r>
      <w:r w:rsidR="00DF52A3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DF52A3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затопления территорий, 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возведения, использования и</w:t>
      </w:r>
      <w:r w:rsidR="00DF52A3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прекращения эксплуатации </w:t>
      </w:r>
      <w:r w:rsidR="008F41E6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гидроэлектростанций.</w:t>
      </w:r>
      <w:r w:rsidR="008F41E6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Хотя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 литературе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идёт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дискуссия о позитивных и негативных аспектах функционирования гидроэлектростанций 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(ГЭС) 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в контексте ESG, на данный момент отсутствует объективная и общепринятая методика оцен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ки 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функционирования ГЭС на всех этапах жизненного цикла. Особо важным 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види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>тся изучение этапов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строительства и утилизации, так как большой углеродный след от </w:t>
      </w:r>
      <w:r w:rsidR="00B550F0">
        <w:rPr>
          <w:rFonts w:ascii="Times New Roman" w:eastAsia="Gulim" w:hAnsi="Times New Roman" w:cs="Times New Roman"/>
          <w:color w:val="000000"/>
          <w:sz w:val="28"/>
          <w:lang w:val="ru-RU"/>
        </w:rPr>
        <w:t>ГЭС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приходится на используемые в 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ходе 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строительства материалы. Подобный</w:t>
      </w:r>
      <w:r w:rsidR="00D138B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анализ одной из 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к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итайских ГЭС, описанный в 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>докладе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, может 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служить в качестве 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>пример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а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«лучших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072FC8">
        <w:rPr>
          <w:rFonts w:ascii="Times New Roman" w:eastAsia="Gulim" w:hAnsi="Times New Roman" w:cs="Times New Roman"/>
          <w:color w:val="000000"/>
          <w:sz w:val="28"/>
          <w:lang w:val="ru-RU"/>
        </w:rPr>
        <w:t>практик»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. </w:t>
      </w:r>
    </w:p>
    <w:p w:rsidR="00574DEE" w:rsidRDefault="005A61E0" w:rsidP="00574DEE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>При подготовке доклада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изучены факторы, </w:t>
      </w:r>
      <w:r w:rsidR="00574DEE" w:rsidRPr="00001CAF">
        <w:rPr>
          <w:rFonts w:ascii="Times New Roman" w:eastAsia="Gulim" w:hAnsi="Times New Roman" w:cs="Times New Roman"/>
          <w:color w:val="000000"/>
          <w:sz w:val="28"/>
          <w:lang w:val="ru-RU"/>
        </w:rPr>
        <w:t>определяющие использовани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е</w:t>
      </w:r>
      <w:r w:rsidR="00574DEE" w:rsidRPr="00001CAF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ВИЭ и структур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у</w:t>
      </w:r>
      <w:r w:rsidR="00574DEE" w:rsidRPr="00001CAF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затрат, относящихся к строительству и эксплуатации </w:t>
      </w:r>
      <w:r w:rsidR="00574DEE" w:rsidRPr="00001CAF">
        <w:rPr>
          <w:rFonts w:ascii="Times New Roman" w:eastAsia="Gulim" w:hAnsi="Times New Roman" w:cs="Times New Roman"/>
          <w:color w:val="000000"/>
          <w:sz w:val="28"/>
          <w:lang w:val="ru-RU"/>
        </w:rPr>
        <w:lastRenderedPageBreak/>
        <w:t xml:space="preserve">электростанций ВИЭ. 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Были исследованы существующие </w:t>
      </w:r>
      <w:r w:rsidR="00574DEE">
        <w:rPr>
          <w:rFonts w:ascii="Times New Roman" w:eastAsia="Gulim" w:hAnsi="Times New Roman" w:cs="Times New Roman"/>
          <w:color w:val="000000"/>
          <w:sz w:val="28"/>
        </w:rPr>
        <w:t>ESG</w:t>
      </w:r>
      <w:r w:rsidR="00574DEE" w:rsidRPr="0049672D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практики оценки деятельности ГЭС в течение всего жизненного цикла (в сравнении с другими видами ВИЭ).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О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>собое внимание удел</w:t>
      </w:r>
      <w:r w:rsidR="00A051E2">
        <w:rPr>
          <w:rFonts w:ascii="Times New Roman" w:eastAsia="Gulim" w:hAnsi="Times New Roman" w:cs="Times New Roman"/>
          <w:color w:val="000000"/>
          <w:sz w:val="28"/>
          <w:lang w:val="ru-RU"/>
        </w:rPr>
        <w:t>ялось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взаимосвязи между гидроэлектростанциями и иными индустриями и секторами экономики,</w:t>
      </w:r>
      <w:r w:rsidR="00656924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 частности,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с лесозаготовками, сельским хозяйством и судоходством, а также инфраструктурным развитием регионов и населённых пунктов. </w:t>
      </w:r>
    </w:p>
    <w:p w:rsidR="00574DEE" w:rsidRDefault="00345632" w:rsidP="00574DEE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Проведён анализ </w:t>
      </w:r>
      <w:r w:rsidR="00574DEE" w:rsidRPr="000F60E3">
        <w:rPr>
          <w:rFonts w:ascii="Times New Roman" w:eastAsia="Gulim" w:hAnsi="Times New Roman" w:cs="Times New Roman"/>
          <w:color w:val="000000"/>
          <w:sz w:val="28"/>
          <w:lang w:val="ru-RU"/>
        </w:rPr>
        <w:t>влияни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я </w:t>
      </w:r>
      <w:r w:rsidR="00574DEE" w:rsidRPr="000F60E3">
        <w:rPr>
          <w:rFonts w:ascii="Times New Roman" w:eastAsia="Gulim" w:hAnsi="Times New Roman" w:cs="Times New Roman"/>
          <w:color w:val="000000"/>
          <w:sz w:val="28"/>
          <w:lang w:val="ru-RU"/>
        </w:rPr>
        <w:t>го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с</w:t>
      </w:r>
      <w:r w:rsidR="00574DEE" w:rsidRPr="000F60E3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ударства на развитие данного сектора. 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>Рассм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отрены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факторы, определяющие возможности получения «зелёного финансирования». Соответственно, изучалась роль «Гринвошинга» в цепях поставок (при строительстве ГЭС)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, а также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роль гидроэлектростанций, как поставщиков зелёной энергии, позволя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ющей</w:t>
      </w:r>
      <w:r w:rsidR="00574DE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производить более «зеленый продукт» при использовании «зеленой» энергии. </w:t>
      </w:r>
    </w:p>
    <w:p w:rsidR="00574DEE" w:rsidRDefault="00574DEE" w:rsidP="00574DEE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Проанализированы тренды развития иностранных и локальных энергетических компаний, использующих ВИЭ, существующие практики следования </w:t>
      </w:r>
      <w:r>
        <w:rPr>
          <w:rFonts w:ascii="Times New Roman" w:eastAsia="Gulim" w:hAnsi="Times New Roman" w:cs="Times New Roman"/>
          <w:color w:val="000000"/>
          <w:sz w:val="28"/>
        </w:rPr>
        <w:t>ESG</w:t>
      </w:r>
      <w:r w:rsidRPr="000B5EB1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повестки (расчёт углеродного следа и пр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.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). Предпринята попытка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определить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направления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развития гидроэнергетики в рамках рынка продажи зелёной энергии с точки зрения возможностей для клиентов (таких, как Русал, и других крупных компаний); сформулированы предложения развития и применения 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>соответствующих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практик 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>р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оссийскими компаниями. Произведены расчёты углеродного следа на единицу электроэнергии и проанализированы зависимости данных от мощности гидроэлектростанций. </w:t>
      </w:r>
    </w:p>
    <w:p w:rsidR="00574DEE" w:rsidRPr="00870008" w:rsidRDefault="00574DEE" w:rsidP="00574DEE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t>В работ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>е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предпринята попытка проанализировать практику использования малых ГЭС в Финляндии и Норвегии, и рассмотреть перспективы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её внедрения в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Российской 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>Ф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едерации. Г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>идроэнергетика обеспечивает 96% всей электроэнергии в Норвегии</w:t>
      </w:r>
      <w:r w:rsidR="005A61E0">
        <w:rPr>
          <w:rFonts w:ascii="Times New Roman" w:eastAsia="Gulim" w:hAnsi="Times New Roman" w:cs="Times New Roman"/>
          <w:color w:val="000000"/>
          <w:sz w:val="28"/>
          <w:lang w:val="ru-RU"/>
        </w:rPr>
        <w:t>, вырабатываемой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1500 станциями по всей стране, 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>благодаря</w:t>
      </w:r>
      <w:r w:rsidR="00345632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чему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Норвегия лидирует в мире по использованию электромобилей: 60% проданных новых автомобилей составляют электромобили по сравнению с 2% в США. Как известно, сни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жение 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углеродного следа транспортной системы, </w:t>
      </w:r>
      <w:r w:rsidR="00A44E4A">
        <w:rPr>
          <w:rFonts w:ascii="Times New Roman" w:eastAsia="Gulim" w:hAnsi="Times New Roman" w:cs="Times New Roman"/>
          <w:color w:val="000000"/>
          <w:sz w:val="28"/>
          <w:lang w:val="ru-RU"/>
        </w:rPr>
        <w:t>использующей электромобили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, в первую очередь зависит от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наличия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возобновляемой электроэнергии. </w:t>
      </w:r>
      <w:r w:rsidR="00231DCC">
        <w:rPr>
          <w:rFonts w:ascii="Times New Roman" w:eastAsia="Gulim" w:hAnsi="Times New Roman" w:cs="Times New Roman"/>
          <w:color w:val="000000"/>
          <w:sz w:val="28"/>
          <w:lang w:val="ru-RU"/>
        </w:rPr>
        <w:t>Б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>лагодаря гидроэнергетике</w:t>
      </w:r>
      <w:r w:rsidR="00231DCC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Норвегия </w:t>
      </w:r>
      <w:r w:rsidR="00F517F1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находится </w:t>
      </w:r>
      <w:r w:rsidR="004A0126">
        <w:rPr>
          <w:rFonts w:ascii="Times New Roman" w:eastAsia="Gulim" w:hAnsi="Times New Roman" w:cs="Times New Roman"/>
          <w:color w:val="000000"/>
          <w:sz w:val="28"/>
          <w:lang w:val="ru-RU"/>
        </w:rPr>
        <w:t>среди мировых лидеров низких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цен на электроэнергию, что является </w:t>
      </w:r>
      <w:r w:rsidR="00D138B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 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социальным фактором развития региона. </w:t>
      </w:r>
      <w:r w:rsidR="00D138B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Дешёвые 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возобновляемые </w:t>
      </w:r>
      <w:r w:rsidR="00D138B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ресурсы 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гидроэнергетики обеспечивают 67% всего потребления энергии в Норвегии. </w:t>
      </w:r>
      <w:r w:rsidR="00F773EA">
        <w:rPr>
          <w:rFonts w:ascii="Times New Roman" w:eastAsia="Gulim" w:hAnsi="Times New Roman" w:cs="Times New Roman"/>
          <w:color w:val="000000"/>
          <w:sz w:val="28"/>
          <w:lang w:val="ru-RU"/>
        </w:rPr>
        <w:t>Страна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производит</w:t>
      </w:r>
      <w:r w:rsidR="00F773EA">
        <w:rPr>
          <w:rFonts w:ascii="Times New Roman" w:eastAsia="Gulim" w:hAnsi="Times New Roman" w:cs="Times New Roman"/>
          <w:color w:val="000000"/>
          <w:sz w:val="28"/>
          <w:lang w:val="ru-RU"/>
        </w:rPr>
        <w:t>, в основном на экспорт,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много нефти и природного газа</w:t>
      </w:r>
      <w:r w:rsidR="00F773EA">
        <w:rPr>
          <w:rFonts w:ascii="Times New Roman" w:eastAsia="Gulim" w:hAnsi="Times New Roman" w:cs="Times New Roman"/>
          <w:color w:val="000000"/>
          <w:sz w:val="28"/>
          <w:lang w:val="ru-RU"/>
        </w:rPr>
        <w:t>,</w:t>
      </w:r>
      <w:r w:rsidRPr="00EA2A1E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а, благодаря гидроэнергетике,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внутри страны для транспортных средств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нефть используется незначительно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.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F773EA">
        <w:rPr>
          <w:rFonts w:ascii="Times New Roman" w:eastAsia="Gulim" w:hAnsi="Times New Roman" w:cs="Times New Roman"/>
          <w:color w:val="000000"/>
          <w:sz w:val="28"/>
          <w:lang w:val="ru-RU"/>
        </w:rPr>
        <w:t>Схожая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тенденци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>я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прослеживается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 регионах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lastRenderedPageBreak/>
        <w:t>С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ибири, богатых гидроэнергетикой, что подтверждается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взрывн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ым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рост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ом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продаж японских и китайских электро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мобилей</w:t>
      </w:r>
      <w:r w:rsidR="0036721C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. </w:t>
      </w:r>
      <w:r w:rsidR="00F773EA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Их </w:t>
      </w:r>
      <w:r w:rsidR="0036721C">
        <w:rPr>
          <w:rFonts w:ascii="Times New Roman" w:eastAsia="Gulim" w:hAnsi="Times New Roman" w:cs="Times New Roman"/>
          <w:color w:val="000000"/>
          <w:sz w:val="28"/>
          <w:lang w:val="ru-RU"/>
        </w:rPr>
        <w:t>популярность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36721C">
        <w:rPr>
          <w:rFonts w:ascii="Times New Roman" w:eastAsia="Gulim" w:hAnsi="Times New Roman" w:cs="Times New Roman"/>
          <w:color w:val="000000"/>
          <w:sz w:val="28"/>
          <w:lang w:val="ru-RU"/>
        </w:rPr>
        <w:t>связана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F773EA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 </w:t>
      </w:r>
      <w:r w:rsidR="0071063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с довольно низкими тарифами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на электричество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 регионе, во многом благодаря гидроэнергетике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>. Это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позволяет сократить углеродный след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от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использования транспорта,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добиться значительной </w:t>
      </w:r>
      <w:r w:rsidRPr="00870008">
        <w:rPr>
          <w:rFonts w:ascii="Times New Roman" w:eastAsia="Gulim" w:hAnsi="Times New Roman" w:cs="Times New Roman"/>
          <w:sz w:val="28"/>
          <w:lang w:val="ru-RU"/>
        </w:rPr>
        <w:t>экономии эксплуатационных затрат при переводе транспорта на электричество, снизить стоимость доставки пассажиров и грузов, тем самым реш</w:t>
      </w:r>
      <w:r w:rsidR="00F773EA" w:rsidRPr="00870008">
        <w:rPr>
          <w:rFonts w:ascii="Times New Roman" w:eastAsia="Gulim" w:hAnsi="Times New Roman" w:cs="Times New Roman"/>
          <w:sz w:val="28"/>
          <w:lang w:val="ru-RU"/>
        </w:rPr>
        <w:t>ая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социальные вопросы и стимулиру</w:t>
      </w:r>
      <w:r w:rsidR="00F773EA" w:rsidRPr="00870008">
        <w:rPr>
          <w:rFonts w:ascii="Times New Roman" w:eastAsia="Gulim" w:hAnsi="Times New Roman" w:cs="Times New Roman"/>
          <w:sz w:val="28"/>
          <w:lang w:val="ru-RU"/>
        </w:rPr>
        <w:t>я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развитие экономики региона. </w:t>
      </w:r>
    </w:p>
    <w:p w:rsidR="00574DEE" w:rsidRPr="00870008" w:rsidRDefault="00A44E4A" w:rsidP="00574DEE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sz w:val="28"/>
          <w:lang w:val="ru-RU"/>
        </w:rPr>
      </w:pPr>
      <w:r w:rsidRPr="00870008">
        <w:rPr>
          <w:rFonts w:ascii="Times New Roman" w:eastAsia="Gulim" w:hAnsi="Times New Roman" w:cs="Times New Roman"/>
          <w:sz w:val="28"/>
          <w:lang w:val="ru-RU"/>
        </w:rPr>
        <w:t>С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троительство гидроэлектростанций в регионе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мо</w:t>
      </w:r>
      <w:r w:rsidRPr="00870008">
        <w:rPr>
          <w:rFonts w:ascii="Times New Roman" w:eastAsia="Gulim" w:hAnsi="Times New Roman" w:cs="Times New Roman"/>
          <w:sz w:val="28"/>
          <w:lang w:val="ru-RU"/>
        </w:rPr>
        <w:t>жет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иметь 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и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долгосрочный, и краткосрочный, 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и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положительный, и отрицательный социальный эффект. </w:t>
      </w:r>
      <w:r w:rsidRPr="00870008">
        <w:rPr>
          <w:rFonts w:ascii="Times New Roman" w:eastAsia="Gulim" w:hAnsi="Times New Roman" w:cs="Times New Roman"/>
          <w:sz w:val="28"/>
          <w:lang w:val="ru-RU"/>
        </w:rPr>
        <w:t>Н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апример, </w:t>
      </w:r>
      <w:r w:rsidRPr="00870008">
        <w:rPr>
          <w:rFonts w:ascii="Times New Roman" w:eastAsia="Gulim" w:hAnsi="Times New Roman" w:cs="Times New Roman"/>
          <w:sz w:val="28"/>
          <w:lang w:val="ru-RU"/>
        </w:rPr>
        <w:t>создание ра</w:t>
      </w:r>
      <w:r w:rsidR="00F773EA" w:rsidRPr="00870008">
        <w:rPr>
          <w:rFonts w:ascii="Times New Roman" w:eastAsia="Gulim" w:hAnsi="Times New Roman" w:cs="Times New Roman"/>
          <w:sz w:val="28"/>
          <w:lang w:val="ru-RU"/>
        </w:rPr>
        <w:t>звитой инфраструктуры в ходе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строительства ГЭС для обеспечения условий жизни строителей и их семей (жилые здания, детские учреждения, рекреационн</w:t>
      </w:r>
      <w:r w:rsidR="00F773EA" w:rsidRPr="00870008">
        <w:rPr>
          <w:rFonts w:ascii="Times New Roman" w:eastAsia="Gulim" w:hAnsi="Times New Roman" w:cs="Times New Roman"/>
          <w:sz w:val="28"/>
          <w:lang w:val="ru-RU"/>
        </w:rPr>
        <w:t>ые центры) может иметь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долгосрочны</w:t>
      </w:r>
      <w:r w:rsidR="00F773EA" w:rsidRPr="00870008">
        <w:rPr>
          <w:rFonts w:ascii="Times New Roman" w:eastAsia="Gulim" w:hAnsi="Times New Roman" w:cs="Times New Roman"/>
          <w:sz w:val="28"/>
          <w:lang w:val="ru-RU"/>
        </w:rPr>
        <w:t>й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положительны</w:t>
      </w:r>
      <w:r w:rsidR="00F773EA" w:rsidRPr="00870008">
        <w:rPr>
          <w:rFonts w:ascii="Times New Roman" w:eastAsia="Gulim" w:hAnsi="Times New Roman" w:cs="Times New Roman"/>
          <w:sz w:val="28"/>
          <w:lang w:val="ru-RU"/>
        </w:rPr>
        <w:t>й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эффект на социальную сфер</w:t>
      </w:r>
      <w:r w:rsidRPr="00870008">
        <w:rPr>
          <w:rFonts w:ascii="Times New Roman" w:eastAsia="Gulim" w:hAnsi="Times New Roman" w:cs="Times New Roman"/>
          <w:sz w:val="28"/>
          <w:lang w:val="ru-RU"/>
        </w:rPr>
        <w:t>у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. </w:t>
      </w:r>
      <w:r w:rsidRPr="00870008">
        <w:rPr>
          <w:rFonts w:ascii="Times New Roman" w:eastAsia="Gulim" w:hAnsi="Times New Roman" w:cs="Times New Roman"/>
          <w:sz w:val="28"/>
          <w:lang w:val="ru-RU"/>
        </w:rPr>
        <w:t>По завершении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строительства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инфраструктура</w:t>
      </w:r>
      <w:r w:rsidR="007F0C19" w:rsidRPr="00870008">
        <w:rPr>
          <w:rFonts w:ascii="Times New Roman" w:eastAsia="Gulim" w:hAnsi="Times New Roman" w:cs="Times New Roman"/>
          <w:sz w:val="28"/>
          <w:lang w:val="ru-RU"/>
        </w:rPr>
        <w:t xml:space="preserve"> сохранит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позитивно</w:t>
      </w:r>
      <w:r w:rsidR="007F0C19" w:rsidRPr="00870008">
        <w:rPr>
          <w:rFonts w:ascii="Times New Roman" w:eastAsia="Gulim" w:hAnsi="Times New Roman" w:cs="Times New Roman"/>
          <w:sz w:val="28"/>
          <w:lang w:val="ru-RU"/>
        </w:rPr>
        <w:t>е влияние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на социальный сектор регион</w:t>
      </w:r>
      <w:r w:rsidRPr="00870008">
        <w:rPr>
          <w:rFonts w:ascii="Times New Roman" w:eastAsia="Gulim" w:hAnsi="Times New Roman" w:cs="Times New Roman"/>
          <w:sz w:val="28"/>
          <w:lang w:val="ru-RU"/>
        </w:rPr>
        <w:t>а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,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обеспечивая рабочие места, необходимые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для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функционирования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её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объектов.</w:t>
      </w:r>
    </w:p>
    <w:p w:rsidR="006178E7" w:rsidRDefault="00A53705" w:rsidP="00A53705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 w:rsidRPr="00870008">
        <w:rPr>
          <w:rFonts w:ascii="Times New Roman" w:eastAsia="Gulim" w:hAnsi="Times New Roman" w:cs="Times New Roman"/>
          <w:sz w:val="28"/>
          <w:lang w:val="ru-RU"/>
        </w:rPr>
        <w:t>В данной работе испол</w:t>
      </w:r>
      <w:r w:rsidR="007F0C19" w:rsidRPr="00870008">
        <w:rPr>
          <w:rFonts w:ascii="Times New Roman" w:eastAsia="Gulim" w:hAnsi="Times New Roman" w:cs="Times New Roman"/>
          <w:sz w:val="28"/>
          <w:lang w:val="ru-RU"/>
        </w:rPr>
        <w:t>ьзован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регрессионный анализ </w:t>
      </w:r>
      <w:r w:rsidR="0036721C" w:rsidRPr="00870008">
        <w:rPr>
          <w:rFonts w:ascii="Times New Roman" w:eastAsia="Gulim" w:hAnsi="Times New Roman" w:cs="Times New Roman"/>
          <w:sz w:val="28"/>
          <w:lang w:val="ru-RU"/>
        </w:rPr>
        <w:t xml:space="preserve">для </w:t>
      </w:r>
      <w:r w:rsidRPr="00870008">
        <w:rPr>
          <w:rFonts w:ascii="Times New Roman" w:eastAsia="Gulim" w:hAnsi="Times New Roman" w:cs="Times New Roman"/>
          <w:sz w:val="28"/>
          <w:lang w:val="ru-RU"/>
        </w:rPr>
        <w:t>выяв</w:t>
      </w:r>
      <w:r w:rsidR="0036721C" w:rsidRPr="00870008">
        <w:rPr>
          <w:rFonts w:ascii="Times New Roman" w:eastAsia="Gulim" w:hAnsi="Times New Roman" w:cs="Times New Roman"/>
          <w:sz w:val="28"/>
          <w:lang w:val="ru-RU"/>
        </w:rPr>
        <w:t>ления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взаимосвязи между наличием гидроэлектростанций и ESG рейтингом в регионах Российской Федерации, в рамках которог</w:t>
      </w:r>
      <w:r w:rsidR="005A61E0" w:rsidRPr="00870008">
        <w:rPr>
          <w:rFonts w:ascii="Times New Roman" w:eastAsia="Gulim" w:hAnsi="Times New Roman" w:cs="Times New Roman"/>
          <w:sz w:val="28"/>
          <w:lang w:val="ru-RU"/>
        </w:rPr>
        <w:t>о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рассм</w:t>
      </w:r>
      <w:r w:rsidR="007F0C19" w:rsidRPr="00870008">
        <w:rPr>
          <w:rFonts w:ascii="Times New Roman" w:eastAsia="Gulim" w:hAnsi="Times New Roman" w:cs="Times New Roman"/>
          <w:sz w:val="28"/>
          <w:lang w:val="ru-RU"/>
        </w:rPr>
        <w:t>отрены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количество и мощность гидроэлектростанций.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Повестка устойчивого развития в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России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 xml:space="preserve"> расширяется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, </w:t>
      </w:r>
      <w:r w:rsidR="00574DEE" w:rsidRPr="00870008">
        <w:rPr>
          <w:rFonts w:ascii="Times New Roman" w:eastAsia="Gulim" w:hAnsi="Times New Roman" w:cs="Times New Roman"/>
          <w:sz w:val="28"/>
          <w:lang w:val="ru-RU"/>
        </w:rPr>
        <w:t>но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пока </w:t>
      </w:r>
      <w:r w:rsidR="008F41E6" w:rsidRPr="00870008">
        <w:rPr>
          <w:rFonts w:ascii="Times New Roman" w:eastAsia="Gulim" w:hAnsi="Times New Roman" w:cs="Times New Roman"/>
          <w:sz w:val="28"/>
          <w:lang w:val="ru-RU"/>
        </w:rPr>
        <w:t>нет сертифицированного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и </w:t>
      </w:r>
      <w:r w:rsidR="008F41E6" w:rsidRPr="00870008">
        <w:rPr>
          <w:rFonts w:ascii="Times New Roman" w:eastAsia="Gulim" w:hAnsi="Times New Roman" w:cs="Times New Roman"/>
          <w:sz w:val="28"/>
          <w:lang w:val="ru-RU"/>
        </w:rPr>
        <w:t>соответствующего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всем международным нормам </w:t>
      </w:r>
      <w:r w:rsidR="008F41E6" w:rsidRPr="00870008">
        <w:rPr>
          <w:rFonts w:ascii="Times New Roman" w:eastAsia="Gulim" w:hAnsi="Times New Roman" w:cs="Times New Roman"/>
          <w:sz w:val="28"/>
          <w:lang w:val="ru-RU"/>
        </w:rPr>
        <w:t>механизма, предоставляющего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рейтинговую оценку регионам с точки зрения ESG, в</w:t>
      </w:r>
      <w:r w:rsidR="008F41E6" w:rsidRPr="00870008">
        <w:rPr>
          <w:rFonts w:ascii="Times New Roman" w:eastAsia="Gulim" w:hAnsi="Times New Roman" w:cs="Times New Roman"/>
          <w:sz w:val="28"/>
          <w:lang w:val="ru-RU"/>
        </w:rPr>
        <w:t xml:space="preserve"> полной мере учитывающего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все </w:t>
      </w:r>
      <w:r w:rsidR="0036721C" w:rsidRPr="00870008">
        <w:rPr>
          <w:rFonts w:ascii="Times New Roman" w:eastAsia="Gulim" w:hAnsi="Times New Roman" w:cs="Times New Roman"/>
          <w:sz w:val="28"/>
          <w:lang w:val="ru-RU"/>
        </w:rPr>
        <w:t>существенные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 факторы. </w:t>
      </w:r>
      <w:r w:rsidR="0036721C" w:rsidRPr="00870008">
        <w:rPr>
          <w:rFonts w:ascii="Times New Roman" w:eastAsia="Gulim" w:hAnsi="Times New Roman" w:cs="Times New Roman"/>
          <w:sz w:val="28"/>
          <w:lang w:val="ru-RU"/>
        </w:rPr>
        <w:t>В результате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анализа сформулиров</w:t>
      </w:r>
      <w:r w:rsidR="0036721C" w:rsidRPr="00870008">
        <w:rPr>
          <w:rFonts w:ascii="Times New Roman" w:eastAsia="Gulim" w:hAnsi="Times New Roman" w:cs="Times New Roman"/>
          <w:sz w:val="28"/>
          <w:lang w:val="ru-RU"/>
        </w:rPr>
        <w:t>аны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вывод</w:t>
      </w:r>
      <w:r w:rsidR="0036721C" w:rsidRPr="00870008">
        <w:rPr>
          <w:rFonts w:ascii="Times New Roman" w:eastAsia="Gulim" w:hAnsi="Times New Roman" w:cs="Times New Roman"/>
          <w:sz w:val="28"/>
          <w:lang w:val="ru-RU"/>
        </w:rPr>
        <w:t>ы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о не</w:t>
      </w:r>
      <w:r w:rsidR="00DF52A3" w:rsidRPr="00870008">
        <w:rPr>
          <w:rFonts w:ascii="Times New Roman" w:eastAsia="Gulim" w:hAnsi="Times New Roman" w:cs="Times New Roman"/>
          <w:sz w:val="28"/>
          <w:lang w:val="ru-RU"/>
        </w:rPr>
        <w:t xml:space="preserve">достаточной </w:t>
      </w:r>
      <w:r w:rsidRPr="00870008">
        <w:rPr>
          <w:rFonts w:ascii="Times New Roman" w:eastAsia="Gulim" w:hAnsi="Times New Roman" w:cs="Times New Roman"/>
          <w:sz w:val="28"/>
          <w:lang w:val="ru-RU"/>
        </w:rPr>
        <w:t>репрезентативност</w:t>
      </w:r>
      <w:r w:rsidR="00DF52A3" w:rsidRPr="00870008">
        <w:rPr>
          <w:rFonts w:ascii="Times New Roman" w:eastAsia="Gulim" w:hAnsi="Times New Roman" w:cs="Times New Roman"/>
          <w:sz w:val="28"/>
          <w:lang w:val="ru-RU"/>
        </w:rPr>
        <w:t>и существующей в России практики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ESG оценки регионов</w:t>
      </w:r>
      <w:r w:rsidR="00072FC8" w:rsidRPr="00870008">
        <w:rPr>
          <w:rFonts w:ascii="Times New Roman" w:eastAsia="Gulim" w:hAnsi="Times New Roman" w:cs="Times New Roman"/>
          <w:sz w:val="28"/>
          <w:lang w:val="ru-RU"/>
        </w:rPr>
        <w:t xml:space="preserve"> и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неполноты перечня иссл</w:t>
      </w:r>
      <w:r w:rsidR="00B550F0" w:rsidRPr="00870008">
        <w:rPr>
          <w:rFonts w:ascii="Times New Roman" w:eastAsia="Gulim" w:hAnsi="Times New Roman" w:cs="Times New Roman"/>
          <w:sz w:val="28"/>
          <w:lang w:val="ru-RU"/>
        </w:rPr>
        <w:t xml:space="preserve">едуемых показателей, </w:t>
      </w:r>
      <w:r w:rsidR="00DF52A3" w:rsidRPr="00870008">
        <w:rPr>
          <w:rFonts w:ascii="Times New Roman" w:eastAsia="Gulim" w:hAnsi="Times New Roman" w:cs="Times New Roman"/>
          <w:sz w:val="28"/>
          <w:lang w:val="ru-RU"/>
        </w:rPr>
        <w:t>результирующей</w:t>
      </w:r>
      <w:r w:rsidRPr="00870008">
        <w:rPr>
          <w:rFonts w:ascii="Times New Roman" w:eastAsia="Gulim" w:hAnsi="Times New Roman" w:cs="Times New Roman"/>
          <w:sz w:val="28"/>
          <w:lang w:val="ru-RU"/>
        </w:rPr>
        <w:t xml:space="preserve"> в относительно слабой, хоть и присутствующей, корреляции. </w:t>
      </w:r>
      <w:r w:rsidR="006178E7" w:rsidRPr="00870008">
        <w:rPr>
          <w:rFonts w:ascii="Times New Roman" w:eastAsia="Gulim" w:hAnsi="Times New Roman" w:cs="Times New Roman"/>
          <w:sz w:val="28"/>
          <w:lang w:val="ru-RU"/>
        </w:rPr>
        <w:t xml:space="preserve">Стоит отметить, что данная модель может быть интерпретирована с двух точек зрения, где первая – наличие 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гидроэлектростанций </w:t>
      </w:r>
      <w:r w:rsidR="0036721C">
        <w:rPr>
          <w:rFonts w:ascii="Times New Roman" w:eastAsia="Gulim" w:hAnsi="Times New Roman" w:cs="Times New Roman"/>
          <w:color w:val="000000"/>
          <w:sz w:val="28"/>
          <w:lang w:val="ru-RU"/>
        </w:rPr>
        <w:t>незначительно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влия</w:t>
      </w:r>
      <w:r w:rsidR="0036721C">
        <w:rPr>
          <w:rFonts w:ascii="Times New Roman" w:eastAsia="Gulim" w:hAnsi="Times New Roman" w:cs="Times New Roman"/>
          <w:color w:val="000000"/>
          <w:sz w:val="28"/>
          <w:lang w:val="ru-RU"/>
        </w:rPr>
        <w:t>ет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на экологически</w:t>
      </w:r>
      <w:r w:rsidR="0036721C">
        <w:rPr>
          <w:rFonts w:ascii="Times New Roman" w:eastAsia="Gulim" w:hAnsi="Times New Roman" w:cs="Times New Roman"/>
          <w:color w:val="000000"/>
          <w:sz w:val="28"/>
          <w:lang w:val="ru-RU"/>
        </w:rPr>
        <w:t>й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рейтинг субъектов РФ согласно </w:t>
      </w:r>
      <w:r w:rsid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рейтингам 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RAEX, и, соответственно, на экологическое состояние в частности; а вторая – относительно небольшое влияние говорит об отсутствии глубины исследования и недостаточном количестве </w:t>
      </w:r>
      <w:r w:rsid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релевантных 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>показателей</w:t>
      </w:r>
      <w:r w:rsidR="006178E7">
        <w:rPr>
          <w:rFonts w:ascii="Times New Roman" w:eastAsia="Gulim" w:hAnsi="Times New Roman" w:cs="Times New Roman"/>
          <w:color w:val="000000"/>
          <w:sz w:val="28"/>
          <w:lang w:val="ru-RU"/>
        </w:rPr>
        <w:t>,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рассматриваемых</w:t>
      </w:r>
      <w:r w:rsidR="006178E7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при оценке региона согласно данному рейтингу</w:t>
      </w:r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>. Это, в свою очередь, является предпосылкой для организации новых исследований и составления рейтингов с большим количество</w:t>
      </w:r>
      <w:bookmarkStart w:id="0" w:name="_GoBack"/>
      <w:bookmarkEnd w:id="0"/>
      <w:r w:rsidR="006178E7" w:rsidRPr="006178E7">
        <w:rPr>
          <w:rFonts w:ascii="Times New Roman" w:eastAsia="Gulim" w:hAnsi="Times New Roman" w:cs="Times New Roman"/>
          <w:color w:val="000000"/>
          <w:sz w:val="28"/>
          <w:lang w:val="ru-RU"/>
        </w:rPr>
        <w:t>м переменных.</w:t>
      </w:r>
    </w:p>
    <w:p w:rsidR="00A53705" w:rsidRPr="00A53705" w:rsidRDefault="000F60E3" w:rsidP="00A53705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  <w:r>
        <w:rPr>
          <w:rFonts w:ascii="Times New Roman" w:eastAsia="Gulim" w:hAnsi="Times New Roman" w:cs="Times New Roman"/>
          <w:color w:val="000000"/>
          <w:sz w:val="28"/>
          <w:lang w:val="ru-RU"/>
        </w:rPr>
        <w:lastRenderedPageBreak/>
        <w:t>П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ров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еден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анализ воздействия наличия и мощности гидроэлектростанций в субъектах Российской Федерации на их экологический рейтинг, 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в частности в сравнении с результатами 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исследований экологического воздействия гидроэле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ктростанций в Бразилии и Китае. На этой основе </w:t>
      </w:r>
      <w:r w:rsidR="00411917">
        <w:rPr>
          <w:rFonts w:ascii="Times New Roman" w:eastAsia="Gulim" w:hAnsi="Times New Roman" w:cs="Times New Roman"/>
          <w:color w:val="000000"/>
          <w:sz w:val="28"/>
          <w:lang w:val="ru-RU"/>
        </w:rPr>
        <w:t>возможно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сделать</w:t>
      </w:r>
      <w:r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предположение о метриках, которые стоит включить в исследования эффекта от гидроэлектростанций в контексте ESG для достижения более полной картины.</w:t>
      </w:r>
      <w:r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B550F0">
        <w:rPr>
          <w:rFonts w:ascii="Times New Roman" w:eastAsia="Gulim" w:hAnsi="Times New Roman" w:cs="Times New Roman"/>
          <w:color w:val="000000"/>
          <w:sz w:val="28"/>
          <w:lang w:val="ru-RU"/>
        </w:rPr>
        <w:t>При этом,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</w:t>
      </w:r>
      <w:r w:rsidR="00B550F0">
        <w:rPr>
          <w:rFonts w:ascii="Times New Roman" w:eastAsia="Gulim" w:hAnsi="Times New Roman" w:cs="Times New Roman"/>
          <w:color w:val="000000"/>
          <w:sz w:val="28"/>
          <w:lang w:val="ru-RU"/>
        </w:rPr>
        <w:t>как известно,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наличие гидроэлектростанций оказывает существенное влияние на экологические и социальные аспекты развития регионов, местных сообществ и таких индустрий</w:t>
      </w:r>
      <w:r w:rsidR="00B550F0">
        <w:rPr>
          <w:rFonts w:ascii="Times New Roman" w:eastAsia="Gulim" w:hAnsi="Times New Roman" w:cs="Times New Roman"/>
          <w:color w:val="000000"/>
          <w:sz w:val="28"/>
          <w:lang w:val="ru-RU"/>
        </w:rPr>
        <w:t>,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как лесозаготовки, сельское хозяйство, судоходство, «зелёный» транспорт и прочие. </w:t>
      </w:r>
      <w:r w:rsidR="00DF52A3">
        <w:rPr>
          <w:rFonts w:ascii="Times New Roman" w:eastAsia="Gulim" w:hAnsi="Times New Roman" w:cs="Times New Roman"/>
          <w:color w:val="000000"/>
          <w:sz w:val="28"/>
          <w:lang w:val="ru-RU"/>
        </w:rPr>
        <w:t>К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онкретные примеры позитивного влияния гидроэлектростанций, </w:t>
      </w:r>
      <w:r w:rsidR="00411917">
        <w:rPr>
          <w:rFonts w:ascii="Times New Roman" w:eastAsia="Gulim" w:hAnsi="Times New Roman" w:cs="Times New Roman"/>
          <w:color w:val="000000"/>
          <w:sz w:val="28"/>
          <w:lang w:val="ru-RU"/>
        </w:rPr>
        <w:t>к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>а</w:t>
      </w:r>
      <w:r w:rsidR="00B550F0">
        <w:rPr>
          <w:rFonts w:ascii="Times New Roman" w:eastAsia="Gulim" w:hAnsi="Times New Roman" w:cs="Times New Roman"/>
          <w:color w:val="000000"/>
          <w:sz w:val="28"/>
          <w:lang w:val="ru-RU"/>
        </w:rPr>
        <w:t>к и примеры негативного влияния</w:t>
      </w:r>
      <w:r w:rsidR="00411917">
        <w:rPr>
          <w:rFonts w:ascii="Times New Roman" w:eastAsia="Gulim" w:hAnsi="Times New Roman" w:cs="Times New Roman"/>
          <w:color w:val="000000"/>
          <w:sz w:val="28"/>
          <w:lang w:val="ru-RU"/>
        </w:rPr>
        <w:t>, демонстриру</w:t>
      </w:r>
      <w:r w:rsidR="00DF52A3">
        <w:rPr>
          <w:rFonts w:ascii="Times New Roman" w:eastAsia="Gulim" w:hAnsi="Times New Roman" w:cs="Times New Roman"/>
          <w:color w:val="000000"/>
          <w:sz w:val="28"/>
          <w:lang w:val="ru-RU"/>
        </w:rPr>
        <w:t>ют необходимость дополнительных мер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поддержки стабильного развития регионов и индустрий, </w:t>
      </w:r>
      <w:r w:rsidR="00411917">
        <w:rPr>
          <w:rFonts w:ascii="Times New Roman" w:eastAsia="Gulim" w:hAnsi="Times New Roman" w:cs="Times New Roman"/>
          <w:color w:val="000000"/>
          <w:sz w:val="28"/>
          <w:lang w:val="ru-RU"/>
        </w:rPr>
        <w:t>учитывая</w:t>
      </w:r>
      <w:r w:rsidR="00A53705" w:rsidRPr="00A53705">
        <w:rPr>
          <w:rFonts w:ascii="Times New Roman" w:eastAsia="Gulim" w:hAnsi="Times New Roman" w:cs="Times New Roman"/>
          <w:color w:val="000000"/>
          <w:sz w:val="28"/>
          <w:lang w:val="ru-RU"/>
        </w:rPr>
        <w:t xml:space="preserve"> все этапы строительства и функционирования гидроэлектростанций.</w:t>
      </w:r>
    </w:p>
    <w:p w:rsidR="00574DEE" w:rsidRPr="008F19F7" w:rsidRDefault="00574DEE">
      <w:pPr>
        <w:spacing w:before="100" w:beforeAutospacing="1" w:after="100" w:afterAutospacing="1" w:line="259" w:lineRule="auto"/>
        <w:rPr>
          <w:rFonts w:ascii="Times New Roman" w:eastAsia="Gulim" w:hAnsi="Times New Roman" w:cs="Times New Roman"/>
          <w:color w:val="000000"/>
          <w:sz w:val="28"/>
          <w:lang w:val="ru-RU"/>
        </w:rPr>
      </w:pPr>
    </w:p>
    <w:sectPr w:rsidR="00574DEE" w:rsidRPr="008F19F7" w:rsidSect="00255D08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45" w:rsidRDefault="00C55545" w:rsidP="00936412">
      <w:pPr>
        <w:spacing w:after="0" w:line="240" w:lineRule="auto"/>
      </w:pPr>
      <w:r>
        <w:separator/>
      </w:r>
    </w:p>
  </w:endnote>
  <w:endnote w:type="continuationSeparator" w:id="0">
    <w:p w:rsidR="00C55545" w:rsidRDefault="00C55545" w:rsidP="009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45" w:rsidRDefault="00C55545" w:rsidP="00936412">
      <w:pPr>
        <w:spacing w:after="0" w:line="240" w:lineRule="auto"/>
      </w:pPr>
      <w:r>
        <w:separator/>
      </w:r>
    </w:p>
  </w:footnote>
  <w:footnote w:type="continuationSeparator" w:id="0">
    <w:p w:rsidR="00C55545" w:rsidRDefault="00C55545" w:rsidP="0093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EC"/>
    <w:rsid w:val="00001CAF"/>
    <w:rsid w:val="00014D6C"/>
    <w:rsid w:val="00030618"/>
    <w:rsid w:val="000543AB"/>
    <w:rsid w:val="00066988"/>
    <w:rsid w:val="00072FC8"/>
    <w:rsid w:val="00085221"/>
    <w:rsid w:val="00087C60"/>
    <w:rsid w:val="000A309B"/>
    <w:rsid w:val="000B5EB1"/>
    <w:rsid w:val="000F60E3"/>
    <w:rsid w:val="001020BF"/>
    <w:rsid w:val="00103F20"/>
    <w:rsid w:val="001107C4"/>
    <w:rsid w:val="00125F8B"/>
    <w:rsid w:val="00132973"/>
    <w:rsid w:val="00166BD4"/>
    <w:rsid w:val="001754F9"/>
    <w:rsid w:val="00186281"/>
    <w:rsid w:val="001A1BB9"/>
    <w:rsid w:val="001B3685"/>
    <w:rsid w:val="001D5D03"/>
    <w:rsid w:val="001F4435"/>
    <w:rsid w:val="00206EE5"/>
    <w:rsid w:val="002160A7"/>
    <w:rsid w:val="00230B32"/>
    <w:rsid w:val="00231DCC"/>
    <w:rsid w:val="002357B2"/>
    <w:rsid w:val="00242620"/>
    <w:rsid w:val="00255D08"/>
    <w:rsid w:val="00297B28"/>
    <w:rsid w:val="002A330F"/>
    <w:rsid w:val="002A5BAB"/>
    <w:rsid w:val="002A737B"/>
    <w:rsid w:val="002B64AE"/>
    <w:rsid w:val="002E1705"/>
    <w:rsid w:val="002E6C73"/>
    <w:rsid w:val="002F0487"/>
    <w:rsid w:val="0030278C"/>
    <w:rsid w:val="00305D95"/>
    <w:rsid w:val="00331986"/>
    <w:rsid w:val="003431B5"/>
    <w:rsid w:val="00343F3B"/>
    <w:rsid w:val="00345632"/>
    <w:rsid w:val="00360799"/>
    <w:rsid w:val="00366202"/>
    <w:rsid w:val="0036721C"/>
    <w:rsid w:val="003855C1"/>
    <w:rsid w:val="003A6190"/>
    <w:rsid w:val="003B7A2E"/>
    <w:rsid w:val="003D7C13"/>
    <w:rsid w:val="003E0950"/>
    <w:rsid w:val="0040385E"/>
    <w:rsid w:val="00410222"/>
    <w:rsid w:val="00411917"/>
    <w:rsid w:val="004142CB"/>
    <w:rsid w:val="00423311"/>
    <w:rsid w:val="00432422"/>
    <w:rsid w:val="0043257E"/>
    <w:rsid w:val="00433422"/>
    <w:rsid w:val="004520E0"/>
    <w:rsid w:val="004542B2"/>
    <w:rsid w:val="00467BFA"/>
    <w:rsid w:val="0049672D"/>
    <w:rsid w:val="004A0126"/>
    <w:rsid w:val="004A071A"/>
    <w:rsid w:val="004A0BEB"/>
    <w:rsid w:val="00503190"/>
    <w:rsid w:val="00507B3A"/>
    <w:rsid w:val="0054632D"/>
    <w:rsid w:val="0054789A"/>
    <w:rsid w:val="00555B62"/>
    <w:rsid w:val="00564A30"/>
    <w:rsid w:val="00574DEE"/>
    <w:rsid w:val="005A61E0"/>
    <w:rsid w:val="005B5BE4"/>
    <w:rsid w:val="005C4B90"/>
    <w:rsid w:val="005C5959"/>
    <w:rsid w:val="005D1BE0"/>
    <w:rsid w:val="005F580B"/>
    <w:rsid w:val="005F6426"/>
    <w:rsid w:val="0060498C"/>
    <w:rsid w:val="00605046"/>
    <w:rsid w:val="00610668"/>
    <w:rsid w:val="006178E7"/>
    <w:rsid w:val="0062367C"/>
    <w:rsid w:val="00627DA9"/>
    <w:rsid w:val="00634E9F"/>
    <w:rsid w:val="00635AE3"/>
    <w:rsid w:val="00641FA6"/>
    <w:rsid w:val="00651D9B"/>
    <w:rsid w:val="00656924"/>
    <w:rsid w:val="00676718"/>
    <w:rsid w:val="00697E11"/>
    <w:rsid w:val="006B33D7"/>
    <w:rsid w:val="006C60AF"/>
    <w:rsid w:val="006C75A6"/>
    <w:rsid w:val="006D3B45"/>
    <w:rsid w:val="006F1B6B"/>
    <w:rsid w:val="006F74F1"/>
    <w:rsid w:val="00702E5E"/>
    <w:rsid w:val="00710635"/>
    <w:rsid w:val="00713C68"/>
    <w:rsid w:val="007150F8"/>
    <w:rsid w:val="00731A4B"/>
    <w:rsid w:val="007659AB"/>
    <w:rsid w:val="0077708A"/>
    <w:rsid w:val="00780F2C"/>
    <w:rsid w:val="00783831"/>
    <w:rsid w:val="007C087C"/>
    <w:rsid w:val="007D3303"/>
    <w:rsid w:val="007D6C14"/>
    <w:rsid w:val="007F0C19"/>
    <w:rsid w:val="00801303"/>
    <w:rsid w:val="00822EBD"/>
    <w:rsid w:val="00824A1F"/>
    <w:rsid w:val="008378C1"/>
    <w:rsid w:val="008422F9"/>
    <w:rsid w:val="0085605E"/>
    <w:rsid w:val="008632FD"/>
    <w:rsid w:val="00870008"/>
    <w:rsid w:val="00872872"/>
    <w:rsid w:val="00875819"/>
    <w:rsid w:val="00883461"/>
    <w:rsid w:val="008A0458"/>
    <w:rsid w:val="008F19F7"/>
    <w:rsid w:val="008F41E6"/>
    <w:rsid w:val="0092156E"/>
    <w:rsid w:val="00936412"/>
    <w:rsid w:val="009437C7"/>
    <w:rsid w:val="00944A82"/>
    <w:rsid w:val="00971F93"/>
    <w:rsid w:val="00976078"/>
    <w:rsid w:val="0098328E"/>
    <w:rsid w:val="009B1EE5"/>
    <w:rsid w:val="009C6528"/>
    <w:rsid w:val="009C68C7"/>
    <w:rsid w:val="009C6E1F"/>
    <w:rsid w:val="009C7D63"/>
    <w:rsid w:val="009D106E"/>
    <w:rsid w:val="009D26EE"/>
    <w:rsid w:val="009D298C"/>
    <w:rsid w:val="009D41BF"/>
    <w:rsid w:val="009F7558"/>
    <w:rsid w:val="00A051E2"/>
    <w:rsid w:val="00A13418"/>
    <w:rsid w:val="00A314FD"/>
    <w:rsid w:val="00A329EB"/>
    <w:rsid w:val="00A44E4A"/>
    <w:rsid w:val="00A53705"/>
    <w:rsid w:val="00A5425F"/>
    <w:rsid w:val="00A549C9"/>
    <w:rsid w:val="00A71BEB"/>
    <w:rsid w:val="00A96FF2"/>
    <w:rsid w:val="00AB5942"/>
    <w:rsid w:val="00AC31DC"/>
    <w:rsid w:val="00AD47C0"/>
    <w:rsid w:val="00AD5C39"/>
    <w:rsid w:val="00AF24E4"/>
    <w:rsid w:val="00B06E7A"/>
    <w:rsid w:val="00B108FA"/>
    <w:rsid w:val="00B10E24"/>
    <w:rsid w:val="00B276F9"/>
    <w:rsid w:val="00B30C30"/>
    <w:rsid w:val="00B52214"/>
    <w:rsid w:val="00B550F0"/>
    <w:rsid w:val="00B677BA"/>
    <w:rsid w:val="00B83BE6"/>
    <w:rsid w:val="00B86C23"/>
    <w:rsid w:val="00B86C42"/>
    <w:rsid w:val="00B91CDE"/>
    <w:rsid w:val="00B9415B"/>
    <w:rsid w:val="00BA7ACE"/>
    <w:rsid w:val="00BB7098"/>
    <w:rsid w:val="00BD0A53"/>
    <w:rsid w:val="00BD3223"/>
    <w:rsid w:val="00BE7FEA"/>
    <w:rsid w:val="00C04B38"/>
    <w:rsid w:val="00C06B85"/>
    <w:rsid w:val="00C16550"/>
    <w:rsid w:val="00C2581C"/>
    <w:rsid w:val="00C26B10"/>
    <w:rsid w:val="00C54569"/>
    <w:rsid w:val="00C55545"/>
    <w:rsid w:val="00C6205F"/>
    <w:rsid w:val="00C72009"/>
    <w:rsid w:val="00CC1C94"/>
    <w:rsid w:val="00CC2CAF"/>
    <w:rsid w:val="00CD68D8"/>
    <w:rsid w:val="00CD72F3"/>
    <w:rsid w:val="00D01182"/>
    <w:rsid w:val="00D12543"/>
    <w:rsid w:val="00D138B5"/>
    <w:rsid w:val="00D32A6B"/>
    <w:rsid w:val="00D40664"/>
    <w:rsid w:val="00D601A2"/>
    <w:rsid w:val="00D65AF4"/>
    <w:rsid w:val="00D93D08"/>
    <w:rsid w:val="00DA4E13"/>
    <w:rsid w:val="00DD0F4C"/>
    <w:rsid w:val="00DD117B"/>
    <w:rsid w:val="00DD3017"/>
    <w:rsid w:val="00DD4BB3"/>
    <w:rsid w:val="00DE38DF"/>
    <w:rsid w:val="00DE3952"/>
    <w:rsid w:val="00DE4CF7"/>
    <w:rsid w:val="00DF52A3"/>
    <w:rsid w:val="00E0171D"/>
    <w:rsid w:val="00E157EC"/>
    <w:rsid w:val="00E22538"/>
    <w:rsid w:val="00E27242"/>
    <w:rsid w:val="00E44BB0"/>
    <w:rsid w:val="00E451EB"/>
    <w:rsid w:val="00E62AFB"/>
    <w:rsid w:val="00E66473"/>
    <w:rsid w:val="00E97964"/>
    <w:rsid w:val="00EA2A1E"/>
    <w:rsid w:val="00EA549F"/>
    <w:rsid w:val="00ED3762"/>
    <w:rsid w:val="00EF2FBC"/>
    <w:rsid w:val="00EF6809"/>
    <w:rsid w:val="00F21C40"/>
    <w:rsid w:val="00F33367"/>
    <w:rsid w:val="00F37B7E"/>
    <w:rsid w:val="00F47A57"/>
    <w:rsid w:val="00F517F1"/>
    <w:rsid w:val="00F62A4D"/>
    <w:rsid w:val="00F773EA"/>
    <w:rsid w:val="00F77945"/>
    <w:rsid w:val="00F77B4F"/>
    <w:rsid w:val="00F850A7"/>
    <w:rsid w:val="00FD65FB"/>
    <w:rsid w:val="00FF065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18C0E"/>
  <w15:docId w15:val="{A34D4AE4-8DF8-4391-AA97-1A3A6D9C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EC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1BEB"/>
  </w:style>
  <w:style w:type="character" w:customStyle="1" w:styleId="a4">
    <w:name w:val="Дата Знак"/>
    <w:basedOn w:val="a0"/>
    <w:link w:val="a3"/>
    <w:uiPriority w:val="99"/>
    <w:semiHidden/>
    <w:rsid w:val="00A71BEB"/>
    <w:rPr>
      <w:kern w:val="0"/>
      <w:sz w:val="22"/>
    </w:rPr>
  </w:style>
  <w:style w:type="paragraph" w:styleId="a5">
    <w:name w:val="Normal (Web)"/>
    <w:basedOn w:val="a"/>
    <w:uiPriority w:val="99"/>
    <w:unhideWhenUsed/>
    <w:rsid w:val="00305D95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styleId="a6">
    <w:name w:val="Hyperlink"/>
    <w:basedOn w:val="a0"/>
    <w:uiPriority w:val="99"/>
    <w:unhideWhenUsed/>
    <w:rsid w:val="00305D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6412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936412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936412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936412"/>
    <w:rPr>
      <w:kern w:val="0"/>
      <w:sz w:val="22"/>
    </w:rPr>
  </w:style>
  <w:style w:type="character" w:customStyle="1" w:styleId="fnte094">
    <w:name w:val="fnt_e094"/>
    <w:basedOn w:val="a0"/>
    <w:rsid w:val="006C75A6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C13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6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3872067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F846-8067-411C-9F2C-A0261F8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7113</Characters>
  <Application>Microsoft Office Word</Application>
  <DocSecurity>0</DocSecurity>
  <Lines>120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Song</dc:creator>
  <cp:lastModifiedBy>Аким Михаил Эдуардович</cp:lastModifiedBy>
  <cp:revision>2</cp:revision>
  <cp:lastPrinted>2020-01-18T07:55:00Z</cp:lastPrinted>
  <dcterms:created xsi:type="dcterms:W3CDTF">2022-11-24T14:28:00Z</dcterms:created>
  <dcterms:modified xsi:type="dcterms:W3CDTF">2022-11-24T14:28:00Z</dcterms:modified>
</cp:coreProperties>
</file>