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27C0" w14:textId="4625AAFD" w:rsidR="007A3F20" w:rsidRPr="007A3F20" w:rsidRDefault="007A3F20" w:rsidP="00FF3084">
      <w:pPr>
        <w:pStyle w:val="a3"/>
        <w:spacing w:line="360" w:lineRule="auto"/>
        <w:ind w:firstLine="709"/>
        <w:jc w:val="both"/>
        <w:rPr>
          <w:rFonts w:ascii="Times New Roman" w:hAnsi="Times New Roman" w:cs="Times New Roman"/>
          <w:b/>
          <w:bCs/>
          <w:sz w:val="24"/>
          <w:szCs w:val="24"/>
        </w:rPr>
      </w:pPr>
      <w:proofErr w:type="spellStart"/>
      <w:r w:rsidRPr="007A3F20">
        <w:rPr>
          <w:rFonts w:ascii="Times New Roman" w:hAnsi="Times New Roman" w:cs="Times New Roman"/>
          <w:b/>
          <w:bCs/>
          <w:sz w:val="24"/>
          <w:szCs w:val="24"/>
        </w:rPr>
        <w:t>Медиапотребление</w:t>
      </w:r>
      <w:proofErr w:type="spellEnd"/>
      <w:r w:rsidRPr="007A3F20">
        <w:rPr>
          <w:rFonts w:ascii="Times New Roman" w:hAnsi="Times New Roman" w:cs="Times New Roman"/>
          <w:b/>
          <w:bCs/>
          <w:sz w:val="24"/>
          <w:szCs w:val="24"/>
        </w:rPr>
        <w:t xml:space="preserve"> в условиях кризиса: </w:t>
      </w:r>
      <w:proofErr w:type="spellStart"/>
      <w:r w:rsidRPr="007A3F20">
        <w:rPr>
          <w:rFonts w:ascii="Times New Roman" w:hAnsi="Times New Roman" w:cs="Times New Roman"/>
          <w:b/>
          <w:bCs/>
          <w:sz w:val="24"/>
          <w:szCs w:val="24"/>
        </w:rPr>
        <w:t>думскроллинг</w:t>
      </w:r>
      <w:proofErr w:type="spellEnd"/>
      <w:r w:rsidRPr="007A3F20">
        <w:rPr>
          <w:rFonts w:ascii="Times New Roman" w:hAnsi="Times New Roman" w:cs="Times New Roman"/>
          <w:b/>
          <w:bCs/>
          <w:sz w:val="24"/>
          <w:szCs w:val="24"/>
        </w:rPr>
        <w:t xml:space="preserve"> и избегание новостей</w:t>
      </w:r>
    </w:p>
    <w:p w14:paraId="596D452B" w14:textId="02C0C4D7" w:rsidR="00FF3084" w:rsidRDefault="00FF3084" w:rsidP="00FF3084">
      <w:pPr>
        <w:pStyle w:val="a3"/>
        <w:spacing w:line="360" w:lineRule="auto"/>
        <w:ind w:firstLine="709"/>
        <w:jc w:val="both"/>
        <w:rPr>
          <w:rFonts w:ascii="Times New Roman" w:hAnsi="Times New Roman" w:cs="Times New Roman"/>
          <w:sz w:val="24"/>
          <w:szCs w:val="24"/>
        </w:rPr>
      </w:pPr>
      <w:r w:rsidRPr="00FF3084">
        <w:rPr>
          <w:rFonts w:ascii="Times New Roman" w:hAnsi="Times New Roman" w:cs="Times New Roman"/>
          <w:sz w:val="24"/>
          <w:szCs w:val="24"/>
        </w:rPr>
        <w:t xml:space="preserve">Большинство исследований массовых коммуникаций исходят из предпосылки, что людям </w:t>
      </w:r>
      <w:r>
        <w:rPr>
          <w:rFonts w:ascii="Times New Roman" w:hAnsi="Times New Roman" w:cs="Times New Roman"/>
          <w:sz w:val="24"/>
          <w:szCs w:val="24"/>
        </w:rPr>
        <w:t>необходимо</w:t>
      </w:r>
      <w:r w:rsidRPr="00FF3084">
        <w:rPr>
          <w:rFonts w:ascii="Times New Roman" w:hAnsi="Times New Roman" w:cs="Times New Roman"/>
          <w:sz w:val="24"/>
          <w:szCs w:val="24"/>
        </w:rPr>
        <w:t xml:space="preserve"> быть информированными. С одной стороны, потребление новостей может помочь понимать реальность и принимать решения, позволяя отслеживать риски (</w:t>
      </w:r>
      <w:proofErr w:type="spellStart"/>
      <w:r w:rsidRPr="00FF3084">
        <w:rPr>
          <w:rFonts w:ascii="Times New Roman" w:hAnsi="Times New Roman" w:cs="Times New Roman"/>
          <w:sz w:val="24"/>
          <w:szCs w:val="24"/>
        </w:rPr>
        <w:t>Shoemaker</w:t>
      </w:r>
      <w:proofErr w:type="spellEnd"/>
      <w:r w:rsidRPr="00FF3084">
        <w:rPr>
          <w:rFonts w:ascii="Times New Roman" w:hAnsi="Times New Roman" w:cs="Times New Roman"/>
          <w:sz w:val="24"/>
          <w:szCs w:val="24"/>
        </w:rPr>
        <w:t xml:space="preserve"> 1996) и снижая чувство неопределенности (</w:t>
      </w:r>
      <w:proofErr w:type="spellStart"/>
      <w:r w:rsidRPr="00FF3084">
        <w:rPr>
          <w:rFonts w:ascii="Times New Roman" w:hAnsi="Times New Roman" w:cs="Times New Roman"/>
          <w:sz w:val="24"/>
          <w:szCs w:val="24"/>
        </w:rPr>
        <w:t>Boyle</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et</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al</w:t>
      </w:r>
      <w:proofErr w:type="spellEnd"/>
      <w:r w:rsidRPr="00FF3084">
        <w:rPr>
          <w:rFonts w:ascii="Times New Roman" w:hAnsi="Times New Roman" w:cs="Times New Roman"/>
          <w:sz w:val="24"/>
          <w:szCs w:val="24"/>
        </w:rPr>
        <w:t>. 2004). С другой стороны, поддержание собственной информированности может трактоваться как своего рода гражданский долг (</w:t>
      </w:r>
      <w:proofErr w:type="spellStart"/>
      <w:r w:rsidRPr="00FF3084">
        <w:rPr>
          <w:rFonts w:ascii="Times New Roman" w:hAnsi="Times New Roman" w:cs="Times New Roman"/>
          <w:sz w:val="24"/>
          <w:szCs w:val="24"/>
        </w:rPr>
        <w:t>Villi</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et</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al</w:t>
      </w:r>
      <w:proofErr w:type="spellEnd"/>
      <w:r w:rsidRPr="00FF3084">
        <w:rPr>
          <w:rFonts w:ascii="Times New Roman" w:hAnsi="Times New Roman" w:cs="Times New Roman"/>
          <w:sz w:val="24"/>
          <w:szCs w:val="24"/>
        </w:rPr>
        <w:t>. 2022). Потребление новостей считается необходимым для поддержания демократии, в том числе поскольку оно коррелирует с более высоким уровнем политической грамотности и вовлеченности (</w:t>
      </w:r>
      <w:proofErr w:type="spellStart"/>
      <w:r w:rsidRPr="00FF3084">
        <w:rPr>
          <w:rFonts w:ascii="Times New Roman" w:hAnsi="Times New Roman" w:cs="Times New Roman"/>
          <w:sz w:val="24"/>
          <w:szCs w:val="24"/>
        </w:rPr>
        <w:t>Eveland</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and</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Scheufele</w:t>
      </w:r>
      <w:proofErr w:type="spellEnd"/>
      <w:r w:rsidRPr="00FF3084">
        <w:rPr>
          <w:rFonts w:ascii="Times New Roman" w:hAnsi="Times New Roman" w:cs="Times New Roman"/>
          <w:sz w:val="24"/>
          <w:szCs w:val="24"/>
        </w:rPr>
        <w:t xml:space="preserve"> 2000; </w:t>
      </w:r>
      <w:proofErr w:type="spellStart"/>
      <w:r w:rsidRPr="00FF3084">
        <w:rPr>
          <w:rFonts w:ascii="Times New Roman" w:hAnsi="Times New Roman" w:cs="Times New Roman"/>
          <w:sz w:val="24"/>
          <w:szCs w:val="24"/>
        </w:rPr>
        <w:t>Hayes</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and</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Lawless</w:t>
      </w:r>
      <w:proofErr w:type="spellEnd"/>
      <w:r w:rsidRPr="00FF3084">
        <w:rPr>
          <w:rFonts w:ascii="Times New Roman" w:hAnsi="Times New Roman" w:cs="Times New Roman"/>
          <w:sz w:val="24"/>
          <w:szCs w:val="24"/>
        </w:rPr>
        <w:t xml:space="preserve"> 2018; </w:t>
      </w:r>
      <w:proofErr w:type="spellStart"/>
      <w:r w:rsidRPr="00FF3084">
        <w:rPr>
          <w:rFonts w:ascii="Times New Roman" w:hAnsi="Times New Roman" w:cs="Times New Roman"/>
          <w:sz w:val="24"/>
          <w:szCs w:val="24"/>
        </w:rPr>
        <w:t>Ksiazek</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Malthouse</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and</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Webster</w:t>
      </w:r>
      <w:proofErr w:type="spellEnd"/>
      <w:r w:rsidRPr="00FF3084">
        <w:rPr>
          <w:rFonts w:ascii="Times New Roman" w:hAnsi="Times New Roman" w:cs="Times New Roman"/>
          <w:sz w:val="24"/>
          <w:szCs w:val="24"/>
        </w:rPr>
        <w:t xml:space="preserve"> 2010). Наконец, информационный контент может давать чувство социальной интеграции (</w:t>
      </w:r>
      <w:proofErr w:type="spellStart"/>
      <w:r w:rsidRPr="00FF3084">
        <w:rPr>
          <w:rFonts w:ascii="Times New Roman" w:hAnsi="Times New Roman" w:cs="Times New Roman"/>
          <w:sz w:val="24"/>
          <w:szCs w:val="24"/>
        </w:rPr>
        <w:t>Barnhurst</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and</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Wartella</w:t>
      </w:r>
      <w:proofErr w:type="spellEnd"/>
      <w:r w:rsidRPr="00FF3084">
        <w:rPr>
          <w:rFonts w:ascii="Times New Roman" w:hAnsi="Times New Roman" w:cs="Times New Roman"/>
          <w:sz w:val="24"/>
          <w:szCs w:val="24"/>
        </w:rPr>
        <w:t xml:space="preserve"> 1991). Таким образом, потребление новостей представляется как однозначное благо.</w:t>
      </w:r>
    </w:p>
    <w:p w14:paraId="2ADE4D00" w14:textId="26BF4475" w:rsidR="00800BD7" w:rsidRDefault="00FF3084" w:rsidP="00800BD7">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тем, с точки зрения теории</w:t>
      </w:r>
      <w:r w:rsidRPr="00FF3084">
        <w:rPr>
          <w:rFonts w:ascii="Times New Roman" w:hAnsi="Times New Roman" w:cs="Times New Roman"/>
          <w:sz w:val="24"/>
          <w:szCs w:val="24"/>
        </w:rPr>
        <w:t xml:space="preserve"> рационального выбора для людей не рационально быть все время хорошо информированными (“</w:t>
      </w:r>
      <w:proofErr w:type="spellStart"/>
      <w:r w:rsidRPr="00FF3084">
        <w:rPr>
          <w:rFonts w:ascii="Times New Roman" w:hAnsi="Times New Roman" w:cs="Times New Roman"/>
          <w:sz w:val="24"/>
          <w:szCs w:val="24"/>
        </w:rPr>
        <w:t>rational</w:t>
      </w:r>
      <w:proofErr w:type="spellEnd"/>
      <w:r w:rsidRPr="00FF3084">
        <w:rPr>
          <w:rFonts w:ascii="Times New Roman" w:hAnsi="Times New Roman" w:cs="Times New Roman"/>
          <w:sz w:val="24"/>
          <w:szCs w:val="24"/>
        </w:rPr>
        <w:t xml:space="preserve"> </w:t>
      </w:r>
      <w:proofErr w:type="spellStart"/>
      <w:r w:rsidRPr="00FF3084">
        <w:rPr>
          <w:rFonts w:ascii="Times New Roman" w:hAnsi="Times New Roman" w:cs="Times New Roman"/>
          <w:sz w:val="24"/>
          <w:szCs w:val="24"/>
        </w:rPr>
        <w:t>ignorance</w:t>
      </w:r>
      <w:proofErr w:type="spellEnd"/>
      <w:r w:rsidRPr="00FF3084">
        <w:rPr>
          <w:rFonts w:ascii="Times New Roman" w:hAnsi="Times New Roman" w:cs="Times New Roman"/>
          <w:sz w:val="24"/>
          <w:szCs w:val="24"/>
        </w:rPr>
        <w:t>”) (</w:t>
      </w:r>
      <w:proofErr w:type="spellStart"/>
      <w:r w:rsidRPr="00FF3084">
        <w:rPr>
          <w:rFonts w:ascii="Times New Roman" w:hAnsi="Times New Roman" w:cs="Times New Roman"/>
          <w:sz w:val="24"/>
          <w:szCs w:val="24"/>
        </w:rPr>
        <w:t>Downs</w:t>
      </w:r>
      <w:proofErr w:type="spellEnd"/>
      <w:r w:rsidRPr="00FF3084">
        <w:rPr>
          <w:rFonts w:ascii="Times New Roman" w:hAnsi="Times New Roman" w:cs="Times New Roman"/>
          <w:sz w:val="24"/>
          <w:szCs w:val="24"/>
        </w:rPr>
        <w:t xml:space="preserve"> 1957)</w:t>
      </w:r>
      <w:r w:rsidR="00614251" w:rsidRPr="00614251">
        <w:rPr>
          <w:rFonts w:ascii="Times New Roman" w:hAnsi="Times New Roman" w:cs="Times New Roman"/>
          <w:sz w:val="24"/>
          <w:szCs w:val="24"/>
        </w:rPr>
        <w:t xml:space="preserve">. В периоды стабильности новости часто не настолько важны для принятия решений, чтобы оправдывать время и силы, необходимые на ознакомление с ними. В условиях кризиса массовые коммуникации приобретают большее значение </w:t>
      </w:r>
      <w:r w:rsidR="00614251">
        <w:rPr>
          <w:rFonts w:ascii="Times New Roman" w:hAnsi="Times New Roman" w:cs="Times New Roman"/>
          <w:sz w:val="24"/>
          <w:szCs w:val="24"/>
        </w:rPr>
        <w:fldChar w:fldCharType="begin"/>
      </w:r>
      <w:r w:rsidR="00614251">
        <w:rPr>
          <w:rFonts w:ascii="Times New Roman" w:hAnsi="Times New Roman" w:cs="Times New Roman"/>
          <w:sz w:val="24"/>
          <w:szCs w:val="24"/>
        </w:rPr>
        <w:instrText xml:space="preserve"> ADDIN ZOTERO_ITEM CSL_CITATION {"citationID":"WZdrRB8E","properties":{"formattedCitation":"(Quiring and Weber 2012; Wu, McCracken, and Saito 2004)","plainCitation":"(Quiring and Weber 2012; Wu, McCracken, and Saito 2004)","noteIndex":0},"citationItems":[{"id":1245,"uris":["http://zotero.org/users/2564426/items/IJZU952P"],"itemData":{"id":1245,"type":"article-journal","container-title":"The International Journal of Press/Politics","issue":"3","note":"00000","page":"294–315","title":"Between Usefulness and Legitimacy: Media Coverage of Governmental Intervention during the Financial Crisis and Selected Effects","volume":"17","author":[{"family":"Quiring","given":"Oliver"},{"family":"Weber","given":"Mathias"}],"issued":{"date-parts":[["2012"]]}}},{"id":1252,"uris":["http://zotero.org/users/2564426/items/4HGX8ZDE"],"itemData":{"id":1252,"type":"article-journal","abstract":"This study investigates the relationship among three critical variables in economic                communication – recession coverage, the state of the economy and consumer                confidence – in Japan. These time-series variables are intricately linked                with one another during the period of 1988–99, roughly the ‘Lost                Decade’. However, the study discovered that the linkage between these                variables in Japan differs from that found for the US during the recession in the                early 1990s. Japanese newspaper coverage followed the economy and public sentiment                at different time-lags. Additionally, the Japanese’s confidence level,                regardless of the economic condition, can be predicted by the economy indicator but                not by the recession coverage. Contrary to the literature, the study finds little                direct media impact on either the economy or consumer confidence – a                phenomenon that could be accounted for by the Japanese’s deep pessimism                about recovery and the longer duration of the recession.","container-title":"Gazette (Leiden, Netherlands)","DOI":"10.1177/0016549204041474","ISSN":"0016-5492","issue":"2","journalAbbreviation":"Gazette (Leiden, Netherlands)","language":"en","note":"00023","page":"133-149","source":"SAGE Journals","title":"Economic Communication in the ‘Lost Decade’: News Coverage and the Japanese Recession","title-short":"Economic Communication in the ‘Lost Decade’","volume":"66","author":[{"family":"Wu","given":"H. Denis"},{"family":"McCracken","given":"Michael W."},{"family":"Saito","given":"Shinichi"}],"issued":{"date-parts":[["2004",4,1]]}}}],"schema":"https://github.com/citation-style-language/schema/raw/master/csl-citation.json"} </w:instrText>
      </w:r>
      <w:r w:rsidR="00614251">
        <w:rPr>
          <w:rFonts w:ascii="Times New Roman" w:hAnsi="Times New Roman" w:cs="Times New Roman"/>
          <w:sz w:val="24"/>
          <w:szCs w:val="24"/>
        </w:rPr>
        <w:fldChar w:fldCharType="separate"/>
      </w:r>
      <w:r w:rsidR="00614251" w:rsidRPr="00614251">
        <w:rPr>
          <w:rFonts w:ascii="Times New Roman" w:hAnsi="Times New Roman" w:cs="Times New Roman"/>
          <w:sz w:val="24"/>
        </w:rPr>
        <w:t>(</w:t>
      </w:r>
      <w:proofErr w:type="spellStart"/>
      <w:r w:rsidR="00614251" w:rsidRPr="00614251">
        <w:rPr>
          <w:rFonts w:ascii="Times New Roman" w:hAnsi="Times New Roman" w:cs="Times New Roman"/>
          <w:sz w:val="24"/>
        </w:rPr>
        <w:t>Quiring</w:t>
      </w:r>
      <w:proofErr w:type="spellEnd"/>
      <w:r w:rsidR="00614251" w:rsidRPr="00614251">
        <w:rPr>
          <w:rFonts w:ascii="Times New Roman" w:hAnsi="Times New Roman" w:cs="Times New Roman"/>
          <w:sz w:val="24"/>
        </w:rPr>
        <w:t xml:space="preserve"> </w:t>
      </w:r>
      <w:proofErr w:type="spellStart"/>
      <w:r w:rsidR="00614251" w:rsidRPr="00614251">
        <w:rPr>
          <w:rFonts w:ascii="Times New Roman" w:hAnsi="Times New Roman" w:cs="Times New Roman"/>
          <w:sz w:val="24"/>
        </w:rPr>
        <w:t>and</w:t>
      </w:r>
      <w:proofErr w:type="spellEnd"/>
      <w:r w:rsidR="00614251" w:rsidRPr="00614251">
        <w:rPr>
          <w:rFonts w:ascii="Times New Roman" w:hAnsi="Times New Roman" w:cs="Times New Roman"/>
          <w:sz w:val="24"/>
        </w:rPr>
        <w:t xml:space="preserve"> Weber 2012; </w:t>
      </w:r>
      <w:proofErr w:type="spellStart"/>
      <w:r w:rsidR="00614251" w:rsidRPr="00614251">
        <w:rPr>
          <w:rFonts w:ascii="Times New Roman" w:hAnsi="Times New Roman" w:cs="Times New Roman"/>
          <w:sz w:val="24"/>
        </w:rPr>
        <w:t>Wu</w:t>
      </w:r>
      <w:proofErr w:type="spellEnd"/>
      <w:r w:rsidR="00614251" w:rsidRPr="00614251">
        <w:rPr>
          <w:rFonts w:ascii="Times New Roman" w:hAnsi="Times New Roman" w:cs="Times New Roman"/>
          <w:sz w:val="24"/>
        </w:rPr>
        <w:t xml:space="preserve">, </w:t>
      </w:r>
      <w:proofErr w:type="spellStart"/>
      <w:r w:rsidR="00614251" w:rsidRPr="00614251">
        <w:rPr>
          <w:rFonts w:ascii="Times New Roman" w:hAnsi="Times New Roman" w:cs="Times New Roman"/>
          <w:sz w:val="24"/>
        </w:rPr>
        <w:t>McCracken</w:t>
      </w:r>
      <w:proofErr w:type="spellEnd"/>
      <w:r w:rsidR="00614251" w:rsidRPr="00614251">
        <w:rPr>
          <w:rFonts w:ascii="Times New Roman" w:hAnsi="Times New Roman" w:cs="Times New Roman"/>
          <w:sz w:val="24"/>
        </w:rPr>
        <w:t xml:space="preserve">, </w:t>
      </w:r>
      <w:proofErr w:type="spellStart"/>
      <w:r w:rsidR="00614251" w:rsidRPr="00614251">
        <w:rPr>
          <w:rFonts w:ascii="Times New Roman" w:hAnsi="Times New Roman" w:cs="Times New Roman"/>
          <w:sz w:val="24"/>
        </w:rPr>
        <w:t>and</w:t>
      </w:r>
      <w:proofErr w:type="spellEnd"/>
      <w:r w:rsidR="00614251" w:rsidRPr="00614251">
        <w:rPr>
          <w:rFonts w:ascii="Times New Roman" w:hAnsi="Times New Roman" w:cs="Times New Roman"/>
          <w:sz w:val="24"/>
        </w:rPr>
        <w:t xml:space="preserve"> </w:t>
      </w:r>
      <w:proofErr w:type="spellStart"/>
      <w:r w:rsidR="00614251" w:rsidRPr="00614251">
        <w:rPr>
          <w:rFonts w:ascii="Times New Roman" w:hAnsi="Times New Roman" w:cs="Times New Roman"/>
          <w:sz w:val="24"/>
        </w:rPr>
        <w:t>Saito</w:t>
      </w:r>
      <w:proofErr w:type="spellEnd"/>
      <w:r w:rsidR="00614251" w:rsidRPr="00614251">
        <w:rPr>
          <w:rFonts w:ascii="Times New Roman" w:hAnsi="Times New Roman" w:cs="Times New Roman"/>
          <w:sz w:val="24"/>
        </w:rPr>
        <w:t xml:space="preserve"> 2004)</w:t>
      </w:r>
      <w:r w:rsidR="00614251">
        <w:rPr>
          <w:rFonts w:ascii="Times New Roman" w:hAnsi="Times New Roman" w:cs="Times New Roman"/>
          <w:sz w:val="24"/>
          <w:szCs w:val="24"/>
        </w:rPr>
        <w:fldChar w:fldCharType="end"/>
      </w:r>
      <w:r w:rsidR="00614251">
        <w:rPr>
          <w:rFonts w:ascii="Times New Roman" w:hAnsi="Times New Roman" w:cs="Times New Roman"/>
          <w:sz w:val="24"/>
          <w:szCs w:val="24"/>
        </w:rPr>
        <w:t>, возрастает спрос на информацию.</w:t>
      </w:r>
      <w:r w:rsidR="00614251" w:rsidRPr="00614251">
        <w:rPr>
          <w:rFonts w:ascii="Times New Roman" w:hAnsi="Times New Roman" w:cs="Times New Roman"/>
          <w:sz w:val="24"/>
          <w:szCs w:val="24"/>
        </w:rPr>
        <w:t xml:space="preserve"> </w:t>
      </w:r>
      <w:r w:rsidR="00800BD7">
        <w:rPr>
          <w:rFonts w:ascii="Times New Roman" w:hAnsi="Times New Roman" w:cs="Times New Roman"/>
          <w:sz w:val="24"/>
          <w:szCs w:val="24"/>
        </w:rPr>
        <w:t>При этом н</w:t>
      </w:r>
      <w:r w:rsidR="00800BD7" w:rsidRPr="00614251">
        <w:rPr>
          <w:rFonts w:ascii="Times New Roman" w:hAnsi="Times New Roman" w:cs="Times New Roman"/>
          <w:sz w:val="24"/>
          <w:szCs w:val="24"/>
        </w:rPr>
        <w:t xml:space="preserve">овости в период кризиса не обязательно являются безусловным благом. Избыточное количество сообщений в СМИ и социальных сетях способствует возникновению информационной перегрузки </w:t>
      </w:r>
      <w:r w:rsidR="00800BD7">
        <w:rPr>
          <w:rFonts w:ascii="Times New Roman" w:hAnsi="Times New Roman" w:cs="Times New Roman"/>
          <w:sz w:val="24"/>
          <w:szCs w:val="24"/>
        </w:rPr>
        <w:fldChar w:fldCharType="begin"/>
      </w:r>
      <w:r w:rsidR="00800BD7">
        <w:rPr>
          <w:rFonts w:ascii="Times New Roman" w:hAnsi="Times New Roman" w:cs="Times New Roman"/>
          <w:sz w:val="24"/>
          <w:szCs w:val="24"/>
        </w:rPr>
        <w:instrText xml:space="preserve"> ADDIN ZOTERO_ITEM CSL_CITATION {"citationID":"41PY88SG","properties":{"formattedCitation":"(Eppler and Mengis 2004)","plainCitation":"(Eppler and Mengis 2004)","noteIndex":0},"citationItems":[{"id":6151,"uris":["http://zotero.org/users/2564426/items/TL88YDCA"],"itemData":{"id":6151,"type":"article-journal","abstract":"Based on literature from the domains of organization science, marketing, accounting, and management information systems, this review article examines the theoretical basis of the information overload discourse and presents an overview of the main definitions, situations, causes, effects, and countermeasures. It analyzes the contributions from the last 30 years to consolidate the existing research in a conceptual framework and to identify future research directions.","container-title":"The Information Society","DOI":"10.1080/01972240490507974","ISSN":"0197-2243","issue":"5","note":"publisher: Routledge\n_eprint: https://doi.org/10.1080/01972240490507974","page":"325-344","source":"Taylor and Francis+NEJM","title":"The Concept of Information Overload: A Review of Literature from Organization Science, Accounting, Marketing, MIS, and Related Disciplines","title-short":"The Concept of Information Overload","volume":"20","author":[{"family":"Eppler","given":"Martin J."},{"family":"Mengis","given":"Jeanne"}],"issued":{"date-parts":[["2004",11,1]]}}}],"schema":"https://github.com/citation-style-language/schema/raw/master/csl-citation.json"} </w:instrText>
      </w:r>
      <w:r w:rsidR="00800BD7">
        <w:rPr>
          <w:rFonts w:ascii="Times New Roman" w:hAnsi="Times New Roman" w:cs="Times New Roman"/>
          <w:sz w:val="24"/>
          <w:szCs w:val="24"/>
        </w:rPr>
        <w:fldChar w:fldCharType="separate"/>
      </w:r>
      <w:r w:rsidR="00800BD7" w:rsidRPr="00800BD7">
        <w:rPr>
          <w:rFonts w:ascii="Times New Roman" w:hAnsi="Times New Roman" w:cs="Times New Roman"/>
          <w:sz w:val="24"/>
        </w:rPr>
        <w:t>(</w:t>
      </w:r>
      <w:proofErr w:type="spellStart"/>
      <w:r w:rsidR="00800BD7" w:rsidRPr="00800BD7">
        <w:rPr>
          <w:rFonts w:ascii="Times New Roman" w:hAnsi="Times New Roman" w:cs="Times New Roman"/>
          <w:sz w:val="24"/>
        </w:rPr>
        <w:t>Eppler</w:t>
      </w:r>
      <w:proofErr w:type="spellEnd"/>
      <w:r w:rsidR="00800BD7" w:rsidRPr="00800BD7">
        <w:rPr>
          <w:rFonts w:ascii="Times New Roman" w:hAnsi="Times New Roman" w:cs="Times New Roman"/>
          <w:sz w:val="24"/>
        </w:rPr>
        <w:t xml:space="preserve"> </w:t>
      </w:r>
      <w:proofErr w:type="spellStart"/>
      <w:r w:rsidR="00800BD7" w:rsidRPr="00800BD7">
        <w:rPr>
          <w:rFonts w:ascii="Times New Roman" w:hAnsi="Times New Roman" w:cs="Times New Roman"/>
          <w:sz w:val="24"/>
        </w:rPr>
        <w:t>and</w:t>
      </w:r>
      <w:proofErr w:type="spellEnd"/>
      <w:r w:rsidR="00800BD7" w:rsidRPr="00800BD7">
        <w:rPr>
          <w:rFonts w:ascii="Times New Roman" w:hAnsi="Times New Roman" w:cs="Times New Roman"/>
          <w:sz w:val="24"/>
        </w:rPr>
        <w:t xml:space="preserve"> </w:t>
      </w:r>
      <w:proofErr w:type="spellStart"/>
      <w:r w:rsidR="00800BD7" w:rsidRPr="00800BD7">
        <w:rPr>
          <w:rFonts w:ascii="Times New Roman" w:hAnsi="Times New Roman" w:cs="Times New Roman"/>
          <w:sz w:val="24"/>
        </w:rPr>
        <w:t>Mengis</w:t>
      </w:r>
      <w:proofErr w:type="spellEnd"/>
      <w:r w:rsidR="00800BD7" w:rsidRPr="00800BD7">
        <w:rPr>
          <w:rFonts w:ascii="Times New Roman" w:hAnsi="Times New Roman" w:cs="Times New Roman"/>
          <w:sz w:val="24"/>
        </w:rPr>
        <w:t xml:space="preserve"> 2004)</w:t>
      </w:r>
      <w:r w:rsidR="00800BD7">
        <w:rPr>
          <w:rFonts w:ascii="Times New Roman" w:hAnsi="Times New Roman" w:cs="Times New Roman"/>
          <w:sz w:val="24"/>
          <w:szCs w:val="24"/>
        </w:rPr>
        <w:fldChar w:fldCharType="end"/>
      </w:r>
      <w:r w:rsidR="00800BD7" w:rsidRPr="00614251">
        <w:rPr>
          <w:rFonts w:ascii="Times New Roman" w:hAnsi="Times New Roman" w:cs="Times New Roman"/>
          <w:sz w:val="24"/>
          <w:szCs w:val="24"/>
        </w:rPr>
        <w:t xml:space="preserve">. </w:t>
      </w:r>
      <w:r w:rsidR="00800BD7">
        <w:rPr>
          <w:rFonts w:ascii="Times New Roman" w:hAnsi="Times New Roman" w:cs="Times New Roman"/>
          <w:sz w:val="24"/>
          <w:szCs w:val="24"/>
        </w:rPr>
        <w:t>Кроме того</w:t>
      </w:r>
      <w:r w:rsidR="00614251" w:rsidRPr="00614251">
        <w:rPr>
          <w:rFonts w:ascii="Times New Roman" w:hAnsi="Times New Roman" w:cs="Times New Roman"/>
          <w:sz w:val="24"/>
          <w:szCs w:val="24"/>
        </w:rPr>
        <w:t xml:space="preserve"> негативный характер новостей может заставлять население избегать их</w:t>
      </w:r>
      <w:r w:rsidR="003A6115">
        <w:rPr>
          <w:rFonts w:ascii="Times New Roman" w:hAnsi="Times New Roman" w:cs="Times New Roman"/>
          <w:sz w:val="24"/>
          <w:szCs w:val="24"/>
        </w:rPr>
        <w:t>, воздействия на настояние и благополучие</w:t>
      </w:r>
      <w:r w:rsidR="00614251">
        <w:rPr>
          <w:rFonts w:ascii="Times New Roman" w:hAnsi="Times New Roman" w:cs="Times New Roman"/>
          <w:sz w:val="24"/>
          <w:szCs w:val="24"/>
        </w:rPr>
        <w:t xml:space="preserve"> </w:t>
      </w:r>
      <w:r w:rsidR="00614251">
        <w:rPr>
          <w:rFonts w:ascii="Times New Roman" w:hAnsi="Times New Roman" w:cs="Times New Roman"/>
          <w:sz w:val="24"/>
          <w:szCs w:val="24"/>
        </w:rPr>
        <w:fldChar w:fldCharType="begin"/>
      </w:r>
      <w:r w:rsidR="00614251">
        <w:rPr>
          <w:rFonts w:ascii="Times New Roman" w:hAnsi="Times New Roman" w:cs="Times New Roman"/>
          <w:sz w:val="24"/>
          <w:szCs w:val="24"/>
        </w:rPr>
        <w:instrText xml:space="preserve"> ADDIN ZOTERO_ITEM CSL_CITATION {"citationID":"8d9S52Cs","properties":{"formattedCitation":"(Mannell and Meese 2022; Skovsgaard and Andersen 2020)","plainCitation":"(Mannell and Meese 2022; Skovsgaard and Andersen 2020)","noteIndex":0},"citationItems":[{"id":5020,"uris":["http://zotero.org/users/2564426/items/B2LDJRY2"],"itemData":{"id":5020,"type":"article-journal","abstract":"As Australia imposed some of the world’s strictest COVID-19 lockdowns, governments and mental health organisations released advice for preserving mental wellbeing throughout the pandemic. One common suggestion was to avoid excessive news consumption. This article reports findings from a study that explored why, how, and with what outcomes people engaged in news avoidance practices. We conducted interviews with 20 participants from the Australian state of Victoria which experienced the country’s most sustained lockdown measures. Our data shows that people restricted their news consumption for a range of wellbeing-related reasons. Avoidance practices were shaped by household contexts and involved strategies for remaining informed to a limited degree. These findings contribute to an emerging evidence base that points to the benefits of partial news avoidance. They also reiterate the value of public health advice that suggests limiting news during a crisis. We go on to argue that the prevalence of news avoidance practices during long-term crises raises significant practical implications for news organisations. © 2022 Informa UK Limited, trading as Taylor &amp; Francis Group.","archive":"Scopus","container-title":"Journalism Studies","DOI":"10.1080/1461670X.2021.2021105","ISSN":"1461-670X","issue":"3","page":"302-319","source":"Scopus","title":"From Doom-Scrolling to News Avoidance: Limiting News as a Wellbeing Strategy During COVID Lockdown","title-short":"From Doom-Scrolling to News Avoidance","volume":"23","author":[{"family":"Mannell","given":"K."},{"family":"Meese","given":"J."}],"issued":{"date-parts":[["2022"]]}}},{"id":5966,"uris":["http://zotero.org/users/2564426/items/9RSMFJBQ"],"itemData":{"id":5966,"type":"article-journal","abstract":"News avoidance is considered an increasing problem for the news industry </w:instrText>
      </w:r>
      <w:r w:rsidR="00614251" w:rsidRPr="00614251">
        <w:rPr>
          <w:rFonts w:ascii="Times New Roman" w:hAnsi="Times New Roman" w:cs="Times New Roman"/>
          <w:sz w:val="24"/>
          <w:szCs w:val="24"/>
          <w:lang w:val="en-US"/>
        </w:rPr>
        <w:instrText>and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democracy</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large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companies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lose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consumers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democracy</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loses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informed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foundation</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for</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an</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engaged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citizenry</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Meanwhile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research</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on</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avoidance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is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hampered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by</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lack</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of</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common</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understanding</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of</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phenomenon</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In</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this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conceptual</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study</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we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first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review</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and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discuss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extant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conceptualizations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and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operationalisations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of</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avoidance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Second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we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present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model</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distinguishing</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two</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types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of</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avoidance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intentional</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and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unintentional</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depending</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on</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underlying</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causes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leading</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people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to</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tune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out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Third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we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argue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that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different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solutions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apply</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to</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two</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types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of</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avoidance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To</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engage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intentional</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avoiders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selection</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and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presentation</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must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to</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be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changed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To</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engage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unintentional</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avoiders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opportunity</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structures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provided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in</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the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media</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system</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must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be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more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favourable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towards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inadvertent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exposure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container</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title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Journalism</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Studies</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DOI</w:instrText>
      </w:r>
      <w:r w:rsidR="00614251" w:rsidRPr="00800BD7">
        <w:rPr>
          <w:rFonts w:ascii="Times New Roman" w:hAnsi="Times New Roman" w:cs="Times New Roman"/>
          <w:sz w:val="24"/>
          <w:szCs w:val="24"/>
        </w:rPr>
        <w:instrText>":"10.1080/1461670</w:instrText>
      </w:r>
      <w:r w:rsidR="00614251" w:rsidRPr="00614251">
        <w:rPr>
          <w:rFonts w:ascii="Times New Roman" w:hAnsi="Times New Roman" w:cs="Times New Roman"/>
          <w:sz w:val="24"/>
          <w:szCs w:val="24"/>
          <w:lang w:val="en-US"/>
        </w:rPr>
        <w:instrText>X</w:instrText>
      </w:r>
      <w:r w:rsidR="00614251" w:rsidRPr="00800BD7">
        <w:rPr>
          <w:rFonts w:ascii="Times New Roman" w:hAnsi="Times New Roman" w:cs="Times New Roman"/>
          <w:sz w:val="24"/>
          <w:szCs w:val="24"/>
        </w:rPr>
        <w:instrText>.2019.1686410","</w:instrText>
      </w:r>
      <w:r w:rsidR="00614251" w:rsidRPr="00614251">
        <w:rPr>
          <w:rFonts w:ascii="Times New Roman" w:hAnsi="Times New Roman" w:cs="Times New Roman"/>
          <w:sz w:val="24"/>
          <w:szCs w:val="24"/>
          <w:lang w:val="en-US"/>
        </w:rPr>
        <w:instrText>ISSN</w:instrText>
      </w:r>
      <w:r w:rsidR="00614251" w:rsidRPr="00800BD7">
        <w:rPr>
          <w:rFonts w:ascii="Times New Roman" w:hAnsi="Times New Roman" w:cs="Times New Roman"/>
          <w:sz w:val="24"/>
          <w:szCs w:val="24"/>
        </w:rPr>
        <w:instrText>":"1461-670</w:instrText>
      </w:r>
      <w:r w:rsidR="00614251" w:rsidRPr="00614251">
        <w:rPr>
          <w:rFonts w:ascii="Times New Roman" w:hAnsi="Times New Roman" w:cs="Times New Roman"/>
          <w:sz w:val="24"/>
          <w:szCs w:val="24"/>
          <w:lang w:val="en-US"/>
        </w:rPr>
        <w:instrText>X</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issue</w:instrText>
      </w:r>
      <w:r w:rsidR="00614251" w:rsidRPr="00800BD7">
        <w:rPr>
          <w:rFonts w:ascii="Times New Roman" w:hAnsi="Times New Roman" w:cs="Times New Roman"/>
          <w:sz w:val="24"/>
          <w:szCs w:val="24"/>
        </w:rPr>
        <w:instrText>":"4","</w:instrText>
      </w:r>
      <w:r w:rsidR="00614251" w:rsidRPr="00614251">
        <w:rPr>
          <w:rFonts w:ascii="Times New Roman" w:hAnsi="Times New Roman" w:cs="Times New Roman"/>
          <w:sz w:val="24"/>
          <w:szCs w:val="24"/>
          <w:lang w:val="en-US"/>
        </w:rPr>
        <w:instrText>note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publisher</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Routledge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n</w:instrText>
      </w:r>
      <w:r w:rsidR="00614251" w:rsidRPr="00800BD7">
        <w:rPr>
          <w:rFonts w:ascii="Times New Roman" w:hAnsi="Times New Roman" w:cs="Times New Roman"/>
          <w:sz w:val="24"/>
          <w:szCs w:val="24"/>
        </w:rPr>
        <w:instrText>_</w:instrText>
      </w:r>
      <w:r w:rsidR="00614251" w:rsidRPr="00614251">
        <w:rPr>
          <w:rFonts w:ascii="Times New Roman" w:hAnsi="Times New Roman" w:cs="Times New Roman"/>
          <w:sz w:val="24"/>
          <w:szCs w:val="24"/>
          <w:lang w:val="en-US"/>
        </w:rPr>
        <w:instrText>eprint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https</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doi</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org</w:instrText>
      </w:r>
      <w:r w:rsidR="00614251" w:rsidRPr="00800BD7">
        <w:rPr>
          <w:rFonts w:ascii="Times New Roman" w:hAnsi="Times New Roman" w:cs="Times New Roman"/>
          <w:sz w:val="24"/>
          <w:szCs w:val="24"/>
        </w:rPr>
        <w:instrText>/10.1080/1461670</w:instrText>
      </w:r>
      <w:r w:rsidR="00614251" w:rsidRPr="00614251">
        <w:rPr>
          <w:rFonts w:ascii="Times New Roman" w:hAnsi="Times New Roman" w:cs="Times New Roman"/>
          <w:sz w:val="24"/>
          <w:szCs w:val="24"/>
          <w:lang w:val="en-US"/>
        </w:rPr>
        <w:instrText>X</w:instrText>
      </w:r>
      <w:r w:rsidR="00614251" w:rsidRPr="00800BD7">
        <w:rPr>
          <w:rFonts w:ascii="Times New Roman" w:hAnsi="Times New Roman" w:cs="Times New Roman"/>
          <w:sz w:val="24"/>
          <w:szCs w:val="24"/>
        </w:rPr>
        <w:instrText>.2019.1686410","</w:instrText>
      </w:r>
      <w:r w:rsidR="00614251" w:rsidRPr="00614251">
        <w:rPr>
          <w:rFonts w:ascii="Times New Roman" w:hAnsi="Times New Roman" w:cs="Times New Roman"/>
          <w:sz w:val="24"/>
          <w:szCs w:val="24"/>
          <w:lang w:val="en-US"/>
        </w:rPr>
        <w:instrText>page</w:instrText>
      </w:r>
      <w:r w:rsidR="00614251" w:rsidRPr="00800BD7">
        <w:rPr>
          <w:rFonts w:ascii="Times New Roman" w:hAnsi="Times New Roman" w:cs="Times New Roman"/>
          <w:sz w:val="24"/>
          <w:szCs w:val="24"/>
        </w:rPr>
        <w:instrText>":"459-476","</w:instrText>
      </w:r>
      <w:r w:rsidR="00614251" w:rsidRPr="00614251">
        <w:rPr>
          <w:rFonts w:ascii="Times New Roman" w:hAnsi="Times New Roman" w:cs="Times New Roman"/>
          <w:sz w:val="24"/>
          <w:szCs w:val="24"/>
          <w:lang w:val="en-US"/>
        </w:rPr>
        <w:instrText>source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Taylor</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and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Francis</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NEJM</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title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Conceptualizing</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Avoidance</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Towards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Shared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Understanding</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of</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Different</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Causes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and</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Potential</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Solutions</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title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short</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Conceptualizing</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News</w:instrText>
      </w:r>
      <w:r w:rsidR="00614251" w:rsidRPr="00800BD7">
        <w:rPr>
          <w:rFonts w:ascii="Times New Roman" w:hAnsi="Times New Roman" w:cs="Times New Roman"/>
          <w:sz w:val="24"/>
          <w:szCs w:val="24"/>
        </w:rPr>
        <w:instrText xml:space="preserve"> </w:instrText>
      </w:r>
      <w:r w:rsidR="00614251" w:rsidRPr="00614251">
        <w:rPr>
          <w:rFonts w:ascii="Times New Roman" w:hAnsi="Times New Roman" w:cs="Times New Roman"/>
          <w:sz w:val="24"/>
          <w:szCs w:val="24"/>
          <w:lang w:val="en-US"/>
        </w:rPr>
        <w:instrText>Avoidance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volume</w:instrText>
      </w:r>
      <w:r w:rsidR="00614251" w:rsidRPr="00800BD7">
        <w:rPr>
          <w:rFonts w:ascii="Times New Roman" w:hAnsi="Times New Roman" w:cs="Times New Roman"/>
          <w:sz w:val="24"/>
          <w:szCs w:val="24"/>
        </w:rPr>
        <w:instrText>":"21","</w:instrText>
      </w:r>
      <w:r w:rsidR="00614251" w:rsidRPr="00614251">
        <w:rPr>
          <w:rFonts w:ascii="Times New Roman" w:hAnsi="Times New Roman" w:cs="Times New Roman"/>
          <w:sz w:val="24"/>
          <w:szCs w:val="24"/>
          <w:lang w:val="en-US"/>
        </w:rPr>
        <w:instrText>author</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family</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Skovsgaard</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given</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Morten</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family</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Andersen</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given</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Kim</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issued</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date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parts</w:instrText>
      </w:r>
      <w:r w:rsidR="00614251" w:rsidRPr="00800BD7">
        <w:rPr>
          <w:rFonts w:ascii="Times New Roman" w:hAnsi="Times New Roman" w:cs="Times New Roman"/>
          <w:sz w:val="24"/>
          <w:szCs w:val="24"/>
        </w:rPr>
        <w:instrText>":[["2020",3,11]]}}}],"</w:instrText>
      </w:r>
      <w:r w:rsidR="00614251" w:rsidRPr="00614251">
        <w:rPr>
          <w:rFonts w:ascii="Times New Roman" w:hAnsi="Times New Roman" w:cs="Times New Roman"/>
          <w:sz w:val="24"/>
          <w:szCs w:val="24"/>
          <w:lang w:val="en-US"/>
        </w:rPr>
        <w:instrText>schema</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https</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github</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com</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citation</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style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language</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schema</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raw</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master</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csl</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citation</w:instrText>
      </w:r>
      <w:r w:rsidR="00614251" w:rsidRPr="00800BD7">
        <w:rPr>
          <w:rFonts w:ascii="Times New Roman" w:hAnsi="Times New Roman" w:cs="Times New Roman"/>
          <w:sz w:val="24"/>
          <w:szCs w:val="24"/>
        </w:rPr>
        <w:instrText>.</w:instrText>
      </w:r>
      <w:r w:rsidR="00614251" w:rsidRPr="00614251">
        <w:rPr>
          <w:rFonts w:ascii="Times New Roman" w:hAnsi="Times New Roman" w:cs="Times New Roman"/>
          <w:sz w:val="24"/>
          <w:szCs w:val="24"/>
          <w:lang w:val="en-US"/>
        </w:rPr>
        <w:instrText>json</w:instrText>
      </w:r>
      <w:r w:rsidR="00614251" w:rsidRPr="00800BD7">
        <w:rPr>
          <w:rFonts w:ascii="Times New Roman" w:hAnsi="Times New Roman" w:cs="Times New Roman"/>
          <w:sz w:val="24"/>
          <w:szCs w:val="24"/>
        </w:rPr>
        <w:instrText xml:space="preserve">"} </w:instrText>
      </w:r>
      <w:r w:rsidR="00614251">
        <w:rPr>
          <w:rFonts w:ascii="Times New Roman" w:hAnsi="Times New Roman" w:cs="Times New Roman"/>
          <w:sz w:val="24"/>
          <w:szCs w:val="24"/>
        </w:rPr>
        <w:fldChar w:fldCharType="separate"/>
      </w:r>
      <w:r w:rsidR="00614251" w:rsidRPr="00800BD7">
        <w:rPr>
          <w:rFonts w:ascii="Times New Roman" w:hAnsi="Times New Roman" w:cs="Times New Roman"/>
          <w:sz w:val="24"/>
        </w:rPr>
        <w:t>(</w:t>
      </w:r>
      <w:proofErr w:type="spellStart"/>
      <w:r w:rsidR="00614251" w:rsidRPr="00614251">
        <w:rPr>
          <w:rFonts w:ascii="Times New Roman" w:hAnsi="Times New Roman" w:cs="Times New Roman"/>
          <w:sz w:val="24"/>
          <w:lang w:val="en-US"/>
        </w:rPr>
        <w:t>Mannell</w:t>
      </w:r>
      <w:proofErr w:type="spellEnd"/>
      <w:r w:rsidR="00614251" w:rsidRPr="00800BD7">
        <w:rPr>
          <w:rFonts w:ascii="Times New Roman" w:hAnsi="Times New Roman" w:cs="Times New Roman"/>
          <w:sz w:val="24"/>
        </w:rPr>
        <w:t xml:space="preserve"> </w:t>
      </w:r>
      <w:r w:rsidR="00614251" w:rsidRPr="00614251">
        <w:rPr>
          <w:rFonts w:ascii="Times New Roman" w:hAnsi="Times New Roman" w:cs="Times New Roman"/>
          <w:sz w:val="24"/>
          <w:lang w:val="en-US"/>
        </w:rPr>
        <w:t>and</w:t>
      </w:r>
      <w:r w:rsidR="00614251" w:rsidRPr="00800BD7">
        <w:rPr>
          <w:rFonts w:ascii="Times New Roman" w:hAnsi="Times New Roman" w:cs="Times New Roman"/>
          <w:sz w:val="24"/>
        </w:rPr>
        <w:t xml:space="preserve"> </w:t>
      </w:r>
      <w:r w:rsidR="00614251" w:rsidRPr="00614251">
        <w:rPr>
          <w:rFonts w:ascii="Times New Roman" w:hAnsi="Times New Roman" w:cs="Times New Roman"/>
          <w:sz w:val="24"/>
          <w:lang w:val="en-US"/>
        </w:rPr>
        <w:t>Meese</w:t>
      </w:r>
      <w:r w:rsidR="00614251" w:rsidRPr="00800BD7">
        <w:rPr>
          <w:rFonts w:ascii="Times New Roman" w:hAnsi="Times New Roman" w:cs="Times New Roman"/>
          <w:sz w:val="24"/>
        </w:rPr>
        <w:t xml:space="preserve"> 2022; </w:t>
      </w:r>
      <w:proofErr w:type="spellStart"/>
      <w:r w:rsidR="00614251" w:rsidRPr="00614251">
        <w:rPr>
          <w:rFonts w:ascii="Times New Roman" w:hAnsi="Times New Roman" w:cs="Times New Roman"/>
          <w:sz w:val="24"/>
          <w:lang w:val="en-US"/>
        </w:rPr>
        <w:t>Skovsgaard</w:t>
      </w:r>
      <w:proofErr w:type="spellEnd"/>
      <w:r w:rsidR="00614251" w:rsidRPr="00800BD7">
        <w:rPr>
          <w:rFonts w:ascii="Times New Roman" w:hAnsi="Times New Roman" w:cs="Times New Roman"/>
          <w:sz w:val="24"/>
        </w:rPr>
        <w:t xml:space="preserve"> </w:t>
      </w:r>
      <w:r w:rsidR="00614251" w:rsidRPr="00614251">
        <w:rPr>
          <w:rFonts w:ascii="Times New Roman" w:hAnsi="Times New Roman" w:cs="Times New Roman"/>
          <w:sz w:val="24"/>
          <w:lang w:val="en-US"/>
        </w:rPr>
        <w:t>and</w:t>
      </w:r>
      <w:r w:rsidR="00614251" w:rsidRPr="00800BD7">
        <w:rPr>
          <w:rFonts w:ascii="Times New Roman" w:hAnsi="Times New Roman" w:cs="Times New Roman"/>
          <w:sz w:val="24"/>
        </w:rPr>
        <w:t xml:space="preserve"> </w:t>
      </w:r>
      <w:r w:rsidR="00614251" w:rsidRPr="00614251">
        <w:rPr>
          <w:rFonts w:ascii="Times New Roman" w:hAnsi="Times New Roman" w:cs="Times New Roman"/>
          <w:sz w:val="24"/>
          <w:lang w:val="en-US"/>
        </w:rPr>
        <w:t>Andersen</w:t>
      </w:r>
      <w:r w:rsidR="00614251" w:rsidRPr="00800BD7">
        <w:rPr>
          <w:rFonts w:ascii="Times New Roman" w:hAnsi="Times New Roman" w:cs="Times New Roman"/>
          <w:sz w:val="24"/>
        </w:rPr>
        <w:t xml:space="preserve"> 2020)</w:t>
      </w:r>
      <w:r w:rsidR="00614251">
        <w:rPr>
          <w:rFonts w:ascii="Times New Roman" w:hAnsi="Times New Roman" w:cs="Times New Roman"/>
          <w:sz w:val="24"/>
          <w:szCs w:val="24"/>
        </w:rPr>
        <w:fldChar w:fldCharType="end"/>
      </w:r>
      <w:r w:rsidR="00614251" w:rsidRPr="00800BD7">
        <w:rPr>
          <w:rFonts w:ascii="Times New Roman" w:hAnsi="Times New Roman" w:cs="Times New Roman"/>
          <w:sz w:val="24"/>
          <w:szCs w:val="24"/>
        </w:rPr>
        <w:t xml:space="preserve">. </w:t>
      </w:r>
      <w:r w:rsidR="003A6115">
        <w:rPr>
          <w:rFonts w:ascii="Times New Roman" w:hAnsi="Times New Roman" w:cs="Times New Roman"/>
          <w:sz w:val="24"/>
          <w:szCs w:val="24"/>
        </w:rPr>
        <w:t>В целом в</w:t>
      </w:r>
      <w:r w:rsidR="00614251" w:rsidRPr="00614251">
        <w:rPr>
          <w:rFonts w:ascii="Times New Roman" w:hAnsi="Times New Roman" w:cs="Times New Roman"/>
          <w:sz w:val="24"/>
          <w:szCs w:val="24"/>
        </w:rPr>
        <w:t xml:space="preserve">о всем мире наблюдается тенденция к росту числа людей, отказывающихся от информационного контента или сокращающих его потребление </w:t>
      </w:r>
      <w:r w:rsidR="00800BD7">
        <w:rPr>
          <w:rFonts w:ascii="Times New Roman" w:hAnsi="Times New Roman" w:cs="Times New Roman"/>
          <w:sz w:val="24"/>
          <w:szCs w:val="24"/>
        </w:rPr>
        <w:t>(</w:t>
      </w:r>
      <w:proofErr w:type="spellStart"/>
      <w:r w:rsidR="00614251" w:rsidRPr="00614251">
        <w:rPr>
          <w:rFonts w:ascii="Times New Roman" w:hAnsi="Times New Roman" w:cs="Times New Roman"/>
          <w:sz w:val="24"/>
          <w:szCs w:val="24"/>
        </w:rPr>
        <w:t>Newman</w:t>
      </w:r>
      <w:proofErr w:type="spellEnd"/>
      <w:r w:rsidR="00614251" w:rsidRPr="00614251">
        <w:rPr>
          <w:rFonts w:ascii="Times New Roman" w:hAnsi="Times New Roman" w:cs="Times New Roman"/>
          <w:sz w:val="24"/>
          <w:szCs w:val="24"/>
        </w:rPr>
        <w:t xml:space="preserve"> </w:t>
      </w:r>
      <w:proofErr w:type="spellStart"/>
      <w:r w:rsidR="00614251" w:rsidRPr="00614251">
        <w:rPr>
          <w:rFonts w:ascii="Times New Roman" w:hAnsi="Times New Roman" w:cs="Times New Roman"/>
          <w:sz w:val="24"/>
          <w:szCs w:val="24"/>
        </w:rPr>
        <w:t>et</w:t>
      </w:r>
      <w:proofErr w:type="spellEnd"/>
      <w:r w:rsidR="00614251" w:rsidRPr="00614251">
        <w:rPr>
          <w:rFonts w:ascii="Times New Roman" w:hAnsi="Times New Roman" w:cs="Times New Roman"/>
          <w:sz w:val="24"/>
          <w:szCs w:val="24"/>
        </w:rPr>
        <w:t xml:space="preserve"> </w:t>
      </w:r>
      <w:proofErr w:type="spellStart"/>
      <w:r w:rsidR="00614251" w:rsidRPr="00614251">
        <w:rPr>
          <w:rFonts w:ascii="Times New Roman" w:hAnsi="Times New Roman" w:cs="Times New Roman"/>
          <w:sz w:val="24"/>
          <w:szCs w:val="24"/>
        </w:rPr>
        <w:t>al</w:t>
      </w:r>
      <w:proofErr w:type="spellEnd"/>
      <w:r w:rsidR="00614251" w:rsidRPr="00614251">
        <w:rPr>
          <w:rFonts w:ascii="Times New Roman" w:hAnsi="Times New Roman" w:cs="Times New Roman"/>
          <w:sz w:val="24"/>
          <w:szCs w:val="24"/>
        </w:rPr>
        <w:t>. 2022</w:t>
      </w:r>
      <w:r w:rsidR="00800BD7">
        <w:rPr>
          <w:rFonts w:ascii="Times New Roman" w:hAnsi="Times New Roman" w:cs="Times New Roman"/>
          <w:sz w:val="24"/>
          <w:szCs w:val="24"/>
        </w:rPr>
        <w:t>)</w:t>
      </w:r>
      <w:r w:rsidR="00614251" w:rsidRPr="00614251">
        <w:rPr>
          <w:rFonts w:ascii="Times New Roman" w:hAnsi="Times New Roman" w:cs="Times New Roman"/>
          <w:sz w:val="24"/>
          <w:szCs w:val="24"/>
        </w:rPr>
        <w:t xml:space="preserve">. </w:t>
      </w:r>
      <w:r w:rsidR="003A6115">
        <w:rPr>
          <w:rFonts w:ascii="Times New Roman" w:hAnsi="Times New Roman" w:cs="Times New Roman"/>
          <w:sz w:val="24"/>
          <w:szCs w:val="24"/>
        </w:rPr>
        <w:t>Опрос, проведенный в октябре 2022 года в России, показал, что п</w:t>
      </w:r>
      <w:r w:rsidR="003A6115" w:rsidRPr="003A6115">
        <w:rPr>
          <w:rFonts w:ascii="Times New Roman" w:hAnsi="Times New Roman" w:cs="Times New Roman"/>
          <w:sz w:val="24"/>
          <w:szCs w:val="24"/>
        </w:rPr>
        <w:t>олное согласие с тезисом «вы стараетесь реже слушать новости, чтобы избегать негативных эмоций» выражают 30,3%, частичное согласие – еще 10,9%.</w:t>
      </w:r>
      <w:r w:rsidR="003A6115">
        <w:rPr>
          <w:rFonts w:ascii="Times New Roman" w:hAnsi="Times New Roman" w:cs="Times New Roman"/>
          <w:sz w:val="24"/>
          <w:szCs w:val="24"/>
        </w:rPr>
        <w:t xml:space="preserve"> </w:t>
      </w:r>
      <w:r w:rsidR="00614251" w:rsidRPr="00614251">
        <w:rPr>
          <w:rFonts w:ascii="Times New Roman" w:hAnsi="Times New Roman" w:cs="Times New Roman"/>
          <w:sz w:val="24"/>
          <w:szCs w:val="24"/>
        </w:rPr>
        <w:t xml:space="preserve">Таким образом, ситуация кризиса парадоксальным образом может способствовать как росту потребления новостей (которое порой приобретает болезненную избыточность – </w:t>
      </w:r>
      <w:proofErr w:type="spellStart"/>
      <w:r w:rsidR="00614251" w:rsidRPr="00614251">
        <w:rPr>
          <w:rFonts w:ascii="Times New Roman" w:hAnsi="Times New Roman" w:cs="Times New Roman"/>
          <w:sz w:val="24"/>
          <w:szCs w:val="24"/>
        </w:rPr>
        <w:t>думскроллинг</w:t>
      </w:r>
      <w:proofErr w:type="spellEnd"/>
      <w:r w:rsidR="00614251" w:rsidRPr="00614251">
        <w:rPr>
          <w:rFonts w:ascii="Times New Roman" w:hAnsi="Times New Roman" w:cs="Times New Roman"/>
          <w:sz w:val="24"/>
          <w:szCs w:val="24"/>
        </w:rPr>
        <w:t xml:space="preserve"> </w:t>
      </w:r>
      <w:r w:rsidR="00800BD7">
        <w:rPr>
          <w:rFonts w:ascii="Times New Roman" w:hAnsi="Times New Roman" w:cs="Times New Roman"/>
          <w:sz w:val="24"/>
          <w:szCs w:val="24"/>
        </w:rPr>
        <w:fldChar w:fldCharType="begin"/>
      </w:r>
      <w:r w:rsidR="00800BD7">
        <w:rPr>
          <w:rFonts w:ascii="Times New Roman" w:hAnsi="Times New Roman" w:cs="Times New Roman"/>
          <w:sz w:val="24"/>
          <w:szCs w:val="24"/>
        </w:rPr>
        <w:instrText xml:space="preserve"> ADDIN ZOTERO_ITEM CSL_CITATION {"citationID":"MQWNlWzV","properties":{"formattedCitation":"(Price et al. 2022)","plainCitation":"(Price et al. 2022)","noteIndex":0},"citationItems":[{"id":5913,"uris":["http://zotero.org/users/2564426/items/2XQIV5V8"],"itemData":{"id":5913,"type":"article-journal","abstract":"Objective: Consumption of traditional and social media markedly increased at the start of the COVID-19 pandemic as new information about the virus and safety guidelines evolved. Much of the information concerned restrictions on daily living activities and the risk posed by the virus. The term doomscrolling is used to describe the phenomenon of elevated negative affect after viewing pandemic-related media. The magnitude and duration of this effect, however, is unclear. Furthermore, the effect of doomscrolling likely varies based on prior vulnerabilities for psychopathology, such as a history of childhood maltreatment. It was hypothesized that social and traditional media exposure were related to an increase in depression and PTSD and that this increase was moderated by childhood maltreatment severity. Method: Participants completed a baseline assessment for psychopathology and 30 days of daily assessments of depression, PTSD, and pandemic-related media use. Results: Using multilevel modeling, social media exposure was associated with increased depression and PTSD. This association was stronger for those with more severe maltreatment histories. Furthermore, those with more severe baseline psychopathology used more social media during this period. These relations were not observed for traditional media sources. Conclusions: These results suggest that regular viewing of pandemic-related social media is associated with increases in psychopathology for those with existing vulnerabilities. Those with such vulnerabilities should adopt strategies to limit social media consumption © 2022. American Psychological Association","archive":"Scopus","container-title":"Psychological Trauma: Theory, Research, Practice, and Policy","DOI":"10.1037/tra0001202","ISSN":"1942-9681","source":"Scopus","title":"Doomscrolling During COVID-19: The Negative Association Between Daily Social and Traditional Media Consumption and Mental Health Symptoms During the COVID-19 Pandemic","title-short":"Doomscrolling During COVID-19","author":[{"family":"Price","given":"M."},{"family":"Legrand","given":"A.C."},{"family":"Brier","given":"Z.M.F."},{"family":"Stolk-Cooke","given":"K.","non-dropping-particle":"van"},{"family":"Peck","given":"K."},{"family":"Dodds","given":"P.S."},{"family":"Danforth","given":"C.M."},{"family":"Adams","given":"Z.W."}],"issued":{"date-parts":[["2022"]]}}}],"schema":"https://github.com/citation-style-language/schema/raw/master/csl-citation.json"} </w:instrText>
      </w:r>
      <w:r w:rsidR="00800BD7">
        <w:rPr>
          <w:rFonts w:ascii="Times New Roman" w:hAnsi="Times New Roman" w:cs="Times New Roman"/>
          <w:sz w:val="24"/>
          <w:szCs w:val="24"/>
        </w:rPr>
        <w:fldChar w:fldCharType="separate"/>
      </w:r>
      <w:r w:rsidR="00800BD7" w:rsidRPr="00800BD7">
        <w:rPr>
          <w:rFonts w:ascii="Times New Roman" w:hAnsi="Times New Roman" w:cs="Times New Roman"/>
          <w:sz w:val="24"/>
        </w:rPr>
        <w:t xml:space="preserve">(Price </w:t>
      </w:r>
      <w:proofErr w:type="spellStart"/>
      <w:r w:rsidR="00800BD7" w:rsidRPr="00800BD7">
        <w:rPr>
          <w:rFonts w:ascii="Times New Roman" w:hAnsi="Times New Roman" w:cs="Times New Roman"/>
          <w:sz w:val="24"/>
        </w:rPr>
        <w:t>et</w:t>
      </w:r>
      <w:proofErr w:type="spellEnd"/>
      <w:r w:rsidR="00800BD7" w:rsidRPr="00800BD7">
        <w:rPr>
          <w:rFonts w:ascii="Times New Roman" w:hAnsi="Times New Roman" w:cs="Times New Roman"/>
          <w:sz w:val="24"/>
        </w:rPr>
        <w:t xml:space="preserve"> </w:t>
      </w:r>
      <w:proofErr w:type="spellStart"/>
      <w:r w:rsidR="00800BD7" w:rsidRPr="00800BD7">
        <w:rPr>
          <w:rFonts w:ascii="Times New Roman" w:hAnsi="Times New Roman" w:cs="Times New Roman"/>
          <w:sz w:val="24"/>
        </w:rPr>
        <w:t>al</w:t>
      </w:r>
      <w:proofErr w:type="spellEnd"/>
      <w:r w:rsidR="00800BD7" w:rsidRPr="00800BD7">
        <w:rPr>
          <w:rFonts w:ascii="Times New Roman" w:hAnsi="Times New Roman" w:cs="Times New Roman"/>
          <w:sz w:val="24"/>
        </w:rPr>
        <w:t>. 2022)</w:t>
      </w:r>
      <w:r w:rsidR="00800BD7">
        <w:rPr>
          <w:rFonts w:ascii="Times New Roman" w:hAnsi="Times New Roman" w:cs="Times New Roman"/>
          <w:sz w:val="24"/>
          <w:szCs w:val="24"/>
        </w:rPr>
        <w:fldChar w:fldCharType="end"/>
      </w:r>
      <w:r w:rsidR="00800BD7" w:rsidRPr="00800BD7">
        <w:rPr>
          <w:rFonts w:ascii="Times New Roman" w:hAnsi="Times New Roman" w:cs="Times New Roman"/>
          <w:sz w:val="24"/>
          <w:szCs w:val="24"/>
        </w:rPr>
        <w:t>)</w:t>
      </w:r>
      <w:r w:rsidR="00614251" w:rsidRPr="00614251">
        <w:rPr>
          <w:rFonts w:ascii="Times New Roman" w:hAnsi="Times New Roman" w:cs="Times New Roman"/>
          <w:sz w:val="24"/>
          <w:szCs w:val="24"/>
        </w:rPr>
        <w:t>, так и его сокращению</w:t>
      </w:r>
      <w:r w:rsidR="00800BD7" w:rsidRPr="00800BD7">
        <w:rPr>
          <w:rFonts w:ascii="Times New Roman" w:hAnsi="Times New Roman" w:cs="Times New Roman"/>
          <w:sz w:val="24"/>
          <w:szCs w:val="24"/>
        </w:rPr>
        <w:t xml:space="preserve"> (</w:t>
      </w:r>
      <w:r w:rsidR="00800BD7">
        <w:rPr>
          <w:rFonts w:ascii="Times New Roman" w:hAnsi="Times New Roman" w:cs="Times New Roman"/>
          <w:sz w:val="24"/>
          <w:szCs w:val="24"/>
          <w:lang w:val="en-US"/>
        </w:rPr>
        <w:t>news</w:t>
      </w:r>
      <w:r w:rsidR="00800BD7" w:rsidRPr="00800BD7">
        <w:rPr>
          <w:rFonts w:ascii="Times New Roman" w:hAnsi="Times New Roman" w:cs="Times New Roman"/>
          <w:sz w:val="24"/>
          <w:szCs w:val="24"/>
        </w:rPr>
        <w:t xml:space="preserve"> </w:t>
      </w:r>
      <w:r w:rsidR="00800BD7">
        <w:rPr>
          <w:rFonts w:ascii="Times New Roman" w:hAnsi="Times New Roman" w:cs="Times New Roman"/>
          <w:sz w:val="24"/>
          <w:szCs w:val="24"/>
          <w:lang w:val="en-US"/>
        </w:rPr>
        <w:t>avoidance</w:t>
      </w:r>
      <w:r w:rsidR="00800BD7" w:rsidRPr="00800BD7">
        <w:rPr>
          <w:rFonts w:ascii="Times New Roman" w:hAnsi="Times New Roman" w:cs="Times New Roman"/>
          <w:sz w:val="24"/>
          <w:szCs w:val="24"/>
        </w:rPr>
        <w:t>)</w:t>
      </w:r>
      <w:r w:rsidR="00614251" w:rsidRPr="00614251">
        <w:rPr>
          <w:rFonts w:ascii="Times New Roman" w:hAnsi="Times New Roman" w:cs="Times New Roman"/>
          <w:sz w:val="24"/>
          <w:szCs w:val="24"/>
        </w:rPr>
        <w:t xml:space="preserve">. </w:t>
      </w:r>
    </w:p>
    <w:p w14:paraId="6F2FB328" w14:textId="4D6957EB" w:rsidR="00FF3084" w:rsidRPr="00800BD7" w:rsidRDefault="00800BD7" w:rsidP="00800BD7">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Доклад основан на анализе интервью с людьми, которые определяют свое </w:t>
      </w:r>
      <w:proofErr w:type="spellStart"/>
      <w:r>
        <w:rPr>
          <w:rFonts w:ascii="Times New Roman" w:hAnsi="Times New Roman" w:cs="Times New Roman"/>
          <w:sz w:val="24"/>
          <w:szCs w:val="24"/>
        </w:rPr>
        <w:t>медиапотребление</w:t>
      </w:r>
      <w:proofErr w:type="spellEnd"/>
      <w:r>
        <w:rPr>
          <w:rFonts w:ascii="Times New Roman" w:hAnsi="Times New Roman" w:cs="Times New Roman"/>
          <w:sz w:val="24"/>
          <w:szCs w:val="24"/>
        </w:rPr>
        <w:t xml:space="preserve"> как </w:t>
      </w:r>
      <w:proofErr w:type="spellStart"/>
      <w:r>
        <w:rPr>
          <w:rFonts w:ascii="Times New Roman" w:hAnsi="Times New Roman" w:cs="Times New Roman"/>
          <w:sz w:val="24"/>
          <w:szCs w:val="24"/>
        </w:rPr>
        <w:t>думскроллинг</w:t>
      </w:r>
      <w:proofErr w:type="spellEnd"/>
      <w:r>
        <w:rPr>
          <w:rFonts w:ascii="Times New Roman" w:hAnsi="Times New Roman" w:cs="Times New Roman"/>
          <w:sz w:val="24"/>
          <w:szCs w:val="24"/>
        </w:rPr>
        <w:t xml:space="preserve"> или как избегание новостей. В процессе сбора данных мы концентрируемся на таких аспектах как </w:t>
      </w:r>
      <w:r w:rsidR="007A3F20">
        <w:rPr>
          <w:rFonts w:ascii="Times New Roman" w:hAnsi="Times New Roman" w:cs="Times New Roman"/>
          <w:sz w:val="24"/>
          <w:szCs w:val="24"/>
        </w:rPr>
        <w:t xml:space="preserve">(1) история обращения к </w:t>
      </w:r>
      <w:r w:rsidR="003A6115">
        <w:rPr>
          <w:rFonts w:ascii="Times New Roman" w:hAnsi="Times New Roman" w:cs="Times New Roman"/>
          <w:sz w:val="24"/>
          <w:szCs w:val="24"/>
        </w:rPr>
        <w:t>соответствующим</w:t>
      </w:r>
      <w:r w:rsidR="007A3F20">
        <w:rPr>
          <w:rFonts w:ascii="Times New Roman" w:hAnsi="Times New Roman" w:cs="Times New Roman"/>
          <w:sz w:val="24"/>
          <w:szCs w:val="24"/>
        </w:rPr>
        <w:t xml:space="preserve"> практикам, мотивы и драйверы; (2) </w:t>
      </w:r>
      <w:r w:rsidRPr="00800BD7">
        <w:rPr>
          <w:rFonts w:ascii="Times New Roman" w:hAnsi="Times New Roman" w:cs="Times New Roman"/>
          <w:sz w:val="24"/>
          <w:szCs w:val="24"/>
        </w:rPr>
        <w:t>практики</w:t>
      </w:r>
      <w:r w:rsidR="007A3F20">
        <w:rPr>
          <w:rFonts w:ascii="Times New Roman" w:hAnsi="Times New Roman" w:cs="Times New Roman"/>
          <w:sz w:val="24"/>
          <w:szCs w:val="24"/>
        </w:rPr>
        <w:t xml:space="preserve"> потребления и</w:t>
      </w:r>
      <w:r w:rsidRPr="00800BD7">
        <w:rPr>
          <w:rFonts w:ascii="Times New Roman" w:hAnsi="Times New Roman" w:cs="Times New Roman"/>
          <w:sz w:val="24"/>
          <w:szCs w:val="24"/>
        </w:rPr>
        <w:t xml:space="preserve"> избегания информации</w:t>
      </w:r>
      <w:r w:rsidR="007A3F20">
        <w:rPr>
          <w:rFonts w:ascii="Times New Roman" w:hAnsi="Times New Roman" w:cs="Times New Roman"/>
          <w:sz w:val="24"/>
          <w:szCs w:val="24"/>
        </w:rPr>
        <w:t xml:space="preserve">; (3) </w:t>
      </w:r>
      <w:r w:rsidR="007A3F20">
        <w:rPr>
          <w:rFonts w:ascii="Times New Roman" w:hAnsi="Times New Roman" w:cs="Times New Roman"/>
          <w:sz w:val="24"/>
          <w:szCs w:val="24"/>
        </w:rPr>
        <w:lastRenderedPageBreak/>
        <w:t xml:space="preserve">социальные взаимодействия и преодоление социального конфликта в контексте </w:t>
      </w:r>
      <w:proofErr w:type="spellStart"/>
      <w:r w:rsidR="007A3F20">
        <w:rPr>
          <w:rFonts w:ascii="Times New Roman" w:hAnsi="Times New Roman" w:cs="Times New Roman"/>
          <w:sz w:val="24"/>
          <w:szCs w:val="24"/>
        </w:rPr>
        <w:t>медиапотребления</w:t>
      </w:r>
      <w:proofErr w:type="spellEnd"/>
      <w:r w:rsidR="007A3F20">
        <w:rPr>
          <w:rFonts w:ascii="Times New Roman" w:hAnsi="Times New Roman" w:cs="Times New Roman"/>
          <w:sz w:val="24"/>
          <w:szCs w:val="24"/>
        </w:rPr>
        <w:t>; (4)</w:t>
      </w:r>
      <w:r w:rsidRPr="00800BD7">
        <w:rPr>
          <w:rFonts w:ascii="Times New Roman" w:hAnsi="Times New Roman" w:cs="Times New Roman"/>
          <w:sz w:val="24"/>
          <w:szCs w:val="24"/>
        </w:rPr>
        <w:t xml:space="preserve"> </w:t>
      </w:r>
      <w:r w:rsidR="007A3F20">
        <w:rPr>
          <w:rFonts w:ascii="Times New Roman" w:hAnsi="Times New Roman" w:cs="Times New Roman"/>
          <w:sz w:val="24"/>
          <w:szCs w:val="24"/>
        </w:rPr>
        <w:t>оценка издержек и выгод потребления информации и отказа от него.</w:t>
      </w:r>
    </w:p>
    <w:p w14:paraId="2F51C643" w14:textId="77777777" w:rsidR="00FF3084" w:rsidRPr="00FF3084" w:rsidRDefault="00FF3084" w:rsidP="00FF3084">
      <w:pPr>
        <w:pStyle w:val="a3"/>
        <w:spacing w:line="360" w:lineRule="auto"/>
        <w:ind w:firstLine="709"/>
        <w:jc w:val="both"/>
        <w:rPr>
          <w:rFonts w:ascii="Times New Roman" w:hAnsi="Times New Roman" w:cs="Times New Roman"/>
          <w:sz w:val="24"/>
          <w:szCs w:val="24"/>
        </w:rPr>
      </w:pPr>
    </w:p>
    <w:sectPr w:rsidR="00FF3084" w:rsidRPr="00FF3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84"/>
    <w:rsid w:val="002E0D03"/>
    <w:rsid w:val="003A6115"/>
    <w:rsid w:val="00614251"/>
    <w:rsid w:val="00793A3D"/>
    <w:rsid w:val="007A3F20"/>
    <w:rsid w:val="00800BD7"/>
    <w:rsid w:val="00FF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26CC"/>
  <w15:chartTrackingRefBased/>
  <w15:docId w15:val="{99289A29-2C15-41B4-BD50-8CED4D6F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3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373</Words>
  <Characters>2517</Characters>
  <Application>Microsoft Office Word</Application>
  <DocSecurity>0</DocSecurity>
  <Lines>36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К</dc:creator>
  <cp:keywords/>
  <dc:description/>
  <cp:lastModifiedBy>А К</cp:lastModifiedBy>
  <cp:revision>1</cp:revision>
  <dcterms:created xsi:type="dcterms:W3CDTF">2022-11-24T15:38:00Z</dcterms:created>
  <dcterms:modified xsi:type="dcterms:W3CDTF">2022-11-24T16:05:00Z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id="RvgLhQNj"/&gt;&lt;style id="http://www.zotero.org/styles/american-sociological-association" locale="en-US" hasBibliography="1" bibliographyStyleHasBeenSet="0"/&gt;&lt;prefs&gt;&lt;pref name="fieldType" value="Fiel</vt:lpwstr>
  </property>
  <property fmtid="{D5CDD505-2E9C-101B-9397-08002B2CF9AE}" pid="3" name="ZOTERO_PREF_2">
    <vt:lpwstr>d"/&gt;&lt;/prefs&gt;&lt;/data&gt;</vt:lpwstr>
  </property>
</Properties>
</file>