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32" w:rsidRPr="00E24D32" w:rsidRDefault="00E24D32" w:rsidP="00E24D32">
      <w:pPr>
        <w:spacing w:after="0" w:line="240" w:lineRule="auto"/>
        <w:jc w:val="center"/>
        <w:rPr>
          <w:rStyle w:val="jlqj4b"/>
          <w:rFonts w:ascii="Times New Roman" w:hAnsi="Times New Roman" w:cs="Times New Roman"/>
          <w:sz w:val="32"/>
          <w:szCs w:val="32"/>
        </w:rPr>
      </w:pPr>
      <w:r w:rsidRPr="00E24D32">
        <w:rPr>
          <w:rStyle w:val="jlqj4b"/>
          <w:rFonts w:ascii="Times New Roman" w:hAnsi="Times New Roman" w:cs="Times New Roman"/>
          <w:sz w:val="32"/>
          <w:szCs w:val="32"/>
        </w:rPr>
        <w:t xml:space="preserve">Идентификация механизмов комплексного оценивания как </w:t>
      </w:r>
    </w:p>
    <w:p w:rsidR="00E24D32" w:rsidRPr="00E24D32" w:rsidRDefault="00E24D32" w:rsidP="00E24D32">
      <w:pPr>
        <w:spacing w:after="0" w:line="240" w:lineRule="auto"/>
        <w:jc w:val="center"/>
        <w:rPr>
          <w:rStyle w:val="jlqj4b"/>
          <w:rFonts w:ascii="Times New Roman" w:hAnsi="Times New Roman" w:cs="Times New Roman"/>
          <w:sz w:val="32"/>
          <w:szCs w:val="32"/>
        </w:rPr>
      </w:pPr>
      <w:r w:rsidRPr="00E24D32">
        <w:rPr>
          <w:rStyle w:val="jlqj4b"/>
          <w:rFonts w:ascii="Times New Roman" w:hAnsi="Times New Roman" w:cs="Times New Roman"/>
          <w:sz w:val="32"/>
          <w:szCs w:val="32"/>
        </w:rPr>
        <w:t xml:space="preserve">подход к анализу </w:t>
      </w:r>
      <w:r w:rsidR="003B279C">
        <w:rPr>
          <w:rStyle w:val="jlqj4b"/>
          <w:rFonts w:ascii="Times New Roman" w:hAnsi="Times New Roman" w:cs="Times New Roman"/>
          <w:sz w:val="32"/>
          <w:szCs w:val="32"/>
        </w:rPr>
        <w:t>порядковых</w:t>
      </w:r>
      <w:r w:rsidRPr="00E24D32">
        <w:rPr>
          <w:rStyle w:val="jlqj4b"/>
          <w:rFonts w:ascii="Times New Roman" w:hAnsi="Times New Roman" w:cs="Times New Roman"/>
          <w:sz w:val="32"/>
          <w:szCs w:val="32"/>
        </w:rPr>
        <w:t xml:space="preserve"> данных </w:t>
      </w:r>
    </w:p>
    <w:p w:rsidR="00E24D32" w:rsidRPr="00E24D32" w:rsidRDefault="00E24D32" w:rsidP="00E24D32">
      <w:pPr>
        <w:spacing w:after="0" w:line="240" w:lineRule="auto"/>
        <w:jc w:val="center"/>
        <w:rPr>
          <w:rStyle w:val="jlqj4b"/>
          <w:rFonts w:ascii="Times New Roman" w:hAnsi="Times New Roman" w:cs="Times New Roman"/>
          <w:sz w:val="32"/>
          <w:szCs w:val="32"/>
        </w:rPr>
      </w:pPr>
      <w:r w:rsidRPr="00E24D32">
        <w:rPr>
          <w:rStyle w:val="jlqj4b"/>
          <w:rFonts w:ascii="Times New Roman" w:hAnsi="Times New Roman" w:cs="Times New Roman"/>
          <w:sz w:val="32"/>
          <w:szCs w:val="32"/>
        </w:rPr>
        <w:t>на данных по банкротствам</w:t>
      </w:r>
    </w:p>
    <w:p w:rsidR="00E24D32" w:rsidRPr="00E24D32" w:rsidRDefault="00E24D32" w:rsidP="00E24D32">
      <w:pPr>
        <w:spacing w:after="0" w:line="240" w:lineRule="auto"/>
        <w:jc w:val="center"/>
        <w:rPr>
          <w:rStyle w:val="jlqj4b"/>
          <w:rFonts w:ascii="Times New Roman" w:hAnsi="Times New Roman" w:cs="Times New Roman"/>
          <w:sz w:val="24"/>
          <w:szCs w:val="24"/>
        </w:rPr>
      </w:pPr>
    </w:p>
    <w:p w:rsidR="00E24D32" w:rsidRPr="00E24D32" w:rsidRDefault="00E24D32" w:rsidP="00E24D32">
      <w:pPr>
        <w:jc w:val="center"/>
        <w:rPr>
          <w:rFonts w:ascii="Times New Roman" w:hAnsi="Times New Roman" w:cs="Times New Roman"/>
        </w:rPr>
      </w:pPr>
      <w:r w:rsidRPr="00E24D32">
        <w:rPr>
          <w:rFonts w:ascii="Times New Roman" w:hAnsi="Times New Roman" w:cs="Times New Roman"/>
          <w:bCs/>
          <w:iCs/>
        </w:rPr>
        <w:t>Сергеев В.А.</w:t>
      </w:r>
      <w:r w:rsidRPr="00E24D32">
        <w:rPr>
          <w:rFonts w:ascii="Times New Roman" w:hAnsi="Times New Roman" w:cs="Times New Roman"/>
          <w:bCs/>
          <w:iCs/>
          <w:vertAlign w:val="superscript"/>
        </w:rPr>
        <w:t>1</w:t>
      </w:r>
      <w:r w:rsidRPr="00E24D32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E24D32">
        <w:rPr>
          <w:rFonts w:ascii="Times New Roman" w:hAnsi="Times New Roman" w:cs="Times New Roman"/>
          <w:bCs/>
          <w:iCs/>
        </w:rPr>
        <w:t>Коргин</w:t>
      </w:r>
      <w:proofErr w:type="spellEnd"/>
      <w:r w:rsidRPr="00E24D32">
        <w:rPr>
          <w:rFonts w:ascii="Times New Roman" w:hAnsi="Times New Roman" w:cs="Times New Roman"/>
          <w:bCs/>
          <w:iCs/>
        </w:rPr>
        <w:t xml:space="preserve"> Н.А.</w:t>
      </w:r>
      <w:r w:rsidRPr="00E24D32">
        <w:rPr>
          <w:rFonts w:ascii="Times New Roman" w:hAnsi="Times New Roman" w:cs="Times New Roman"/>
          <w:vertAlign w:val="superscript"/>
        </w:rPr>
        <w:t>1</w:t>
      </w:r>
      <w:r w:rsidRPr="00E24D32">
        <w:rPr>
          <w:rFonts w:ascii="Times New Roman" w:hAnsi="Times New Roman" w:cs="Times New Roman"/>
        </w:rPr>
        <w:br/>
        <w:t>(</w:t>
      </w:r>
      <w:proofErr w:type="spellStart"/>
      <w:r w:rsidRPr="00E24D32">
        <w:rPr>
          <w:rFonts w:ascii="Times New Roman" w:hAnsi="Times New Roman" w:cs="Times New Roman"/>
          <w:shd w:val="clear" w:color="auto" w:fill="FFFFFF"/>
          <w:lang w:val="en-US"/>
        </w:rPr>
        <w:t>sergeev</w:t>
      </w:r>
      <w:proofErr w:type="spellEnd"/>
      <w:r w:rsidRPr="00E24D32">
        <w:rPr>
          <w:rFonts w:ascii="Times New Roman" w:hAnsi="Times New Roman" w:cs="Times New Roman"/>
          <w:shd w:val="clear" w:color="auto" w:fill="FFFFFF"/>
        </w:rPr>
        <w:t>@</w:t>
      </w:r>
      <w:r w:rsidRPr="00E24D32">
        <w:rPr>
          <w:rFonts w:ascii="Times New Roman" w:hAnsi="Times New Roman" w:cs="Times New Roman"/>
          <w:shd w:val="clear" w:color="auto" w:fill="FFFFFF"/>
          <w:lang w:val="en-US"/>
        </w:rPr>
        <w:t>bureau</w:t>
      </w:r>
      <w:r w:rsidRPr="00E24D32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Pr="00E24D32">
        <w:rPr>
          <w:rFonts w:ascii="Times New Roman" w:hAnsi="Times New Roman" w:cs="Times New Roman"/>
          <w:shd w:val="clear" w:color="auto" w:fill="FFFFFF"/>
          <w:lang w:val="en-US"/>
        </w:rPr>
        <w:t>gmail</w:t>
      </w:r>
      <w:proofErr w:type="spellEnd"/>
      <w:r w:rsidRPr="00E24D32">
        <w:rPr>
          <w:rFonts w:ascii="Times New Roman" w:hAnsi="Times New Roman" w:cs="Times New Roman"/>
          <w:shd w:val="clear" w:color="auto" w:fill="FFFFFF"/>
        </w:rPr>
        <w:t>.</w:t>
      </w:r>
      <w:r w:rsidRPr="00E24D32">
        <w:rPr>
          <w:rFonts w:ascii="Times New Roman" w:hAnsi="Times New Roman" w:cs="Times New Roman"/>
          <w:shd w:val="clear" w:color="auto" w:fill="FFFFFF"/>
          <w:lang w:val="en-US"/>
        </w:rPr>
        <w:t>com</w:t>
      </w:r>
      <w:r w:rsidRPr="00E24D32">
        <w:rPr>
          <w:rFonts w:ascii="Times New Roman" w:hAnsi="Times New Roman" w:cs="Times New Roman"/>
        </w:rPr>
        <w:t>)</w:t>
      </w:r>
    </w:p>
    <w:p w:rsidR="00E24D32" w:rsidRPr="00E24D32" w:rsidRDefault="00E24D32" w:rsidP="00E24D32">
      <w:pPr>
        <w:spacing w:after="0" w:line="240" w:lineRule="auto"/>
        <w:rPr>
          <w:rStyle w:val="jlqj4b"/>
          <w:rFonts w:ascii="Times New Roman" w:hAnsi="Times New Roman" w:cs="Times New Roman"/>
        </w:rPr>
      </w:pPr>
    </w:p>
    <w:p w:rsidR="00E24D32" w:rsidRPr="00E24D32" w:rsidRDefault="00E24D32" w:rsidP="00E24D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4D32">
        <w:rPr>
          <w:vertAlign w:val="superscript"/>
        </w:rPr>
        <w:t>1</w:t>
      </w:r>
      <w:r w:rsidRPr="00E24D32">
        <w:rPr>
          <w:rStyle w:val="jlqj4b"/>
          <w:rFonts w:ascii="Times New Roman" w:hAnsi="Times New Roman" w:cs="Times New Roman"/>
        </w:rPr>
        <w:t>Институт проблем управления им. Трапезникова В.А.</w:t>
      </w:r>
      <w:r w:rsidRPr="00E24D32">
        <w:rPr>
          <w:rStyle w:val="viiyi"/>
          <w:rFonts w:ascii="Times New Roman" w:hAnsi="Times New Roman" w:cs="Times New Roman"/>
        </w:rPr>
        <w:t xml:space="preserve"> </w:t>
      </w:r>
      <w:r w:rsidRPr="00E24D32">
        <w:rPr>
          <w:rStyle w:val="jlqj4b"/>
          <w:rFonts w:ascii="Times New Roman" w:hAnsi="Times New Roman" w:cs="Times New Roman"/>
        </w:rPr>
        <w:t>РАН, Москва, Россия</w:t>
      </w:r>
    </w:p>
    <w:p w:rsidR="00E24D32" w:rsidRPr="00E24D32" w:rsidRDefault="00E24D32" w:rsidP="00E2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59" w:rsidRDefault="00E24D32" w:rsidP="00C6261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новый подход к анализу </w:t>
      </w:r>
      <w:r w:rsidR="003B279C" w:rsidRPr="003B279C">
        <w:rPr>
          <w:rStyle w:val="jlqj4b"/>
          <w:rFonts w:ascii="Times New Roman" w:hAnsi="Times New Roman" w:cs="Times New Roman"/>
          <w:sz w:val="24"/>
          <w:szCs w:val="24"/>
        </w:rPr>
        <w:t>порядковых</w:t>
      </w:r>
      <w:r w:rsidR="003B279C" w:rsidRPr="003B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(см., 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</w:t>
      </w:r>
      <w:proofErr w:type="spellStart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Mariel</w:t>
      </w:r>
      <w:proofErr w:type="spellEnd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(2021)) </w:t>
      </w:r>
      <w:r w:rsidR="00D9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напоминающий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вербальн</w:t>
      </w:r>
      <w:r w:rsidR="00D93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(см., Например, </w:t>
      </w:r>
      <w:proofErr w:type="spellStart"/>
      <w:r w:rsidR="009C6C01" w:rsidRPr="007E30A5">
        <w:rPr>
          <w:rFonts w:ascii="Times New Roman" w:hAnsi="Times New Roman" w:cs="Times New Roman"/>
          <w:sz w:val="24"/>
        </w:rPr>
        <w:t>Moshkovich</w:t>
      </w:r>
      <w:proofErr w:type="spellEnd"/>
      <w:r w:rsidR="009C6C0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C01" w:rsidRPr="007E30A5">
        <w:rPr>
          <w:rFonts w:ascii="Times New Roman" w:hAnsi="Times New Roman" w:cs="Times New Roman"/>
          <w:sz w:val="24"/>
        </w:rPr>
        <w:t>Mechitov</w:t>
      </w:r>
      <w:proofErr w:type="spellEnd"/>
      <w:r w:rsidR="009C6C01" w:rsidRPr="007E30A5">
        <w:rPr>
          <w:rFonts w:ascii="Times New Roman" w:hAnsi="Times New Roman" w:cs="Times New Roman"/>
          <w:noProof/>
          <w:sz w:val="24"/>
        </w:rPr>
        <w:t xml:space="preserve"> (2013), Larichev (1997)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основе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</w:t>
      </w:r>
      <w:bookmarkStart w:id="0" w:name="_GoBack"/>
      <w:bookmarkEnd w:id="0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оценивания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первоначально разработанного 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C6C01" w:rsidRPr="007E30A5">
        <w:rPr>
          <w:rStyle w:val="jlqj4b"/>
          <w:rFonts w:ascii="Times New Roman" w:hAnsi="Times New Roman" w:cs="Times New Roman"/>
          <w:sz w:val="24"/>
          <w:lang w:val="en"/>
        </w:rPr>
        <w:t>Burkov</w:t>
      </w:r>
      <w:proofErr w:type="spellEnd"/>
      <w:r w:rsidR="009C6C01" w:rsidRPr="009C6C01">
        <w:rPr>
          <w:rStyle w:val="jlqj4b"/>
          <w:rFonts w:ascii="Times New Roman" w:hAnsi="Times New Roman" w:cs="Times New Roman"/>
          <w:sz w:val="24"/>
        </w:rPr>
        <w:t xml:space="preserve">, </w:t>
      </w:r>
      <w:proofErr w:type="spellStart"/>
      <w:r w:rsidR="009C6C01" w:rsidRPr="007E30A5">
        <w:rPr>
          <w:rStyle w:val="jlqj4b"/>
          <w:rFonts w:ascii="Times New Roman" w:hAnsi="Times New Roman" w:cs="Times New Roman"/>
          <w:sz w:val="24"/>
          <w:lang w:val="en"/>
        </w:rPr>
        <w:t>Sergeev</w:t>
      </w:r>
      <w:proofErr w:type="spellEnd"/>
      <w:r w:rsidR="009C6C01">
        <w:rPr>
          <w:rStyle w:val="jlqj4b"/>
          <w:rFonts w:ascii="Times New Roman" w:hAnsi="Times New Roman" w:cs="Times New Roman"/>
          <w:sz w:val="24"/>
        </w:rPr>
        <w:t xml:space="preserve">, </w:t>
      </w:r>
      <w:proofErr w:type="spellStart"/>
      <w:r w:rsidR="009C6C01" w:rsidRPr="007E30A5">
        <w:rPr>
          <w:rStyle w:val="jlqj4b"/>
          <w:rFonts w:ascii="Times New Roman" w:hAnsi="Times New Roman" w:cs="Times New Roman"/>
          <w:sz w:val="24"/>
          <w:lang w:val="en"/>
        </w:rPr>
        <w:t>Korgin</w:t>
      </w:r>
      <w:proofErr w:type="spellEnd"/>
      <w:r w:rsidR="009C6C01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(2020) и </w:t>
      </w:r>
      <w:proofErr w:type="spellStart"/>
      <w:r w:rsidR="009C6C01" w:rsidRPr="007E30A5">
        <w:rPr>
          <w:rStyle w:val="jlqj4b"/>
          <w:rFonts w:ascii="Times New Roman" w:hAnsi="Times New Roman" w:cs="Times New Roman"/>
          <w:sz w:val="24"/>
          <w:lang w:val="en"/>
        </w:rPr>
        <w:t>Korgin</w:t>
      </w:r>
      <w:proofErr w:type="spellEnd"/>
      <w:r w:rsidR="009C6C01">
        <w:rPr>
          <w:rStyle w:val="jlqj4b"/>
          <w:rFonts w:ascii="Times New Roman" w:hAnsi="Times New Roman" w:cs="Times New Roman"/>
          <w:sz w:val="24"/>
        </w:rPr>
        <w:t xml:space="preserve">, </w:t>
      </w:r>
      <w:proofErr w:type="spellStart"/>
      <w:r w:rsidR="009C6C01" w:rsidRPr="007E30A5">
        <w:rPr>
          <w:rStyle w:val="jlqj4b"/>
          <w:rFonts w:ascii="Times New Roman" w:hAnsi="Times New Roman" w:cs="Times New Roman"/>
          <w:sz w:val="24"/>
          <w:lang w:val="en"/>
        </w:rPr>
        <w:t>Sergeev</w:t>
      </w:r>
      <w:proofErr w:type="spellEnd"/>
      <w:r w:rsidR="009C6C01" w:rsidRPr="009C6C01">
        <w:rPr>
          <w:rStyle w:val="jlqj4b"/>
          <w:rFonts w:ascii="Times New Roman" w:hAnsi="Times New Roman" w:cs="Times New Roman"/>
          <w:sz w:val="24"/>
        </w:rPr>
        <w:t xml:space="preserve">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(2021). Предлагаемый подход может быть дополнением к основным подходам, применяемым в экологической оценке (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ЭО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659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930659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дискретного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C6C0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статистических методах (см., Например, </w:t>
      </w:r>
      <w:proofErr w:type="spellStart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Pecherkova</w:t>
      </w:r>
      <w:proofErr w:type="spellEnd"/>
      <w:r w:rsidR="00D93F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Nagy</w:t>
      </w:r>
      <w:proofErr w:type="spellEnd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(2017), </w:t>
      </w:r>
      <w:proofErr w:type="spellStart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Hoyos</w:t>
      </w:r>
      <w:proofErr w:type="spellEnd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(2010)). Мы проиллюстрируем его применение к анализу </w:t>
      </w:r>
      <w:r w:rsidR="003B279C" w:rsidRPr="003B279C">
        <w:rPr>
          <w:rStyle w:val="jlqj4b"/>
          <w:rFonts w:ascii="Times New Roman" w:hAnsi="Times New Roman" w:cs="Times New Roman"/>
          <w:sz w:val="24"/>
          <w:szCs w:val="24"/>
        </w:rPr>
        <w:t>порядковых</w:t>
      </w:r>
      <w:r w:rsidR="003B279C" w:rsidRPr="003B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на основе данных оценки компаний, занимающихся недвижимостью, представленных в работе </w:t>
      </w:r>
      <w:proofErr w:type="spellStart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Alekseev</w:t>
      </w:r>
      <w:proofErr w:type="spellEnd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Alekseev</w:t>
      </w:r>
      <w:proofErr w:type="spellEnd"/>
      <w:r w:rsidR="00D93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(2019). </w:t>
      </w:r>
    </w:p>
    <w:p w:rsidR="00930659" w:rsidRDefault="00E24D32" w:rsidP="00C6261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использована методология, основными понятиями которой являются: дерево свертки, матрица свертки, оптимизационный полином, анализ групп эквивалентности. Дерево свертки - бинарное дерево, листья которого являются показателями, используемыми для оценки объектов, а корень - 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ранжирования. 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элементов 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 -</w:t>
      </w:r>
      <w:r w:rsidR="00930659" w:rsidRP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659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0659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матриц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экспертный подхо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Рассматриваемый</w:t>
      </w:r>
      <w:r w:rsidR="00D9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работе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напротив, основан на получении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работы с набором входных данных исследуемой задачи. В этой статье мы делаем шаг вперед и используем 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как механизм принятия решений, а как модель, описывающую набор </w:t>
      </w:r>
      <w:r w:rsidR="003B279C" w:rsidRPr="003B279C">
        <w:rPr>
          <w:rStyle w:val="jlqj4b"/>
          <w:rFonts w:ascii="Times New Roman" w:hAnsi="Times New Roman" w:cs="Times New Roman"/>
          <w:sz w:val="24"/>
          <w:szCs w:val="24"/>
        </w:rPr>
        <w:t>порядковых</w:t>
      </w:r>
      <w:r w:rsidR="003B279C" w:rsidRPr="003B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 именем МКО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преимуществом по сравнению с нашей предыдущей работой является расширение метода для работы с неполными данными. Матрицы свертки определяют значения оценок в промежуточных узлах и в корне дерева свертки. Существует механизм, позволяющий представить каждое дерево свертки в виде ML, например: </w:t>
      </w:r>
      <w:r w:rsidRPr="00E24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M1 l1 M2 l2 M3 l3 l4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Проблема идентификации может быть сведена к задаче максимизации некоторого полинома, полученного для данного двоичного дерева и набора примеров с использованием унитарного кодирования. 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0659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задачи максимизации</w:t>
      </w:r>
      <w:r w:rsidR="00930659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используем бесплатный для академических целей </w:t>
      </w:r>
      <w:proofErr w:type="spellStart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Gurobi</w:t>
      </w:r>
      <w:proofErr w:type="spellEnd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Solver</w:t>
      </w:r>
      <w:proofErr w:type="spellEnd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см. </w:t>
      </w:r>
      <w:proofErr w:type="spellStart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Gurobi</w:t>
      </w:r>
      <w:proofErr w:type="spellEnd"/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(2021). </w:t>
      </w:r>
    </w:p>
    <w:p w:rsidR="006D3A04" w:rsidRDefault="00D93FD8" w:rsidP="00C6261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а</w:t>
      </w:r>
      <w:r w:rsidR="00E24D32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групп эквивалентности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E24D32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выделить заведомо нереализуемые структуры, в которых есть подгруппы переменных, не укладывающиеся в допустимый алфавит. В соответствии с изложенным в </w:t>
      </w:r>
      <w:proofErr w:type="spellStart"/>
      <w:r w:rsidR="00930659" w:rsidRPr="007E30A5">
        <w:rPr>
          <w:rStyle w:val="jlqj4b"/>
          <w:rFonts w:ascii="Times New Roman" w:hAnsi="Times New Roman" w:cs="Times New Roman"/>
          <w:sz w:val="24"/>
          <w:lang w:val="en"/>
        </w:rPr>
        <w:t>Burkov</w:t>
      </w:r>
      <w:proofErr w:type="spellEnd"/>
      <w:r w:rsidR="00930659" w:rsidRPr="00930659">
        <w:rPr>
          <w:rStyle w:val="jlqj4b"/>
          <w:rFonts w:ascii="Times New Roman" w:hAnsi="Times New Roman" w:cs="Times New Roman"/>
          <w:sz w:val="24"/>
        </w:rPr>
        <w:t xml:space="preserve">, </w:t>
      </w:r>
      <w:proofErr w:type="spellStart"/>
      <w:r w:rsidR="00930659" w:rsidRPr="007E30A5">
        <w:rPr>
          <w:rStyle w:val="jlqj4b"/>
          <w:rFonts w:ascii="Times New Roman" w:hAnsi="Times New Roman" w:cs="Times New Roman"/>
          <w:sz w:val="24"/>
          <w:lang w:val="en"/>
        </w:rPr>
        <w:t>Sergeev</w:t>
      </w:r>
      <w:proofErr w:type="spellEnd"/>
      <w:r w:rsidR="00930659">
        <w:rPr>
          <w:rStyle w:val="jlqj4b"/>
          <w:rFonts w:ascii="Times New Roman" w:hAnsi="Times New Roman" w:cs="Times New Roman"/>
          <w:sz w:val="24"/>
        </w:rPr>
        <w:t xml:space="preserve">, </w:t>
      </w:r>
      <w:proofErr w:type="spellStart"/>
      <w:r w:rsidR="00930659" w:rsidRPr="007E30A5">
        <w:rPr>
          <w:rStyle w:val="jlqj4b"/>
          <w:rFonts w:ascii="Times New Roman" w:hAnsi="Times New Roman" w:cs="Times New Roman"/>
          <w:sz w:val="24"/>
          <w:lang w:val="en"/>
        </w:rPr>
        <w:t>Korgin</w:t>
      </w:r>
      <w:proofErr w:type="spellEnd"/>
      <w:r w:rsidR="00930659" w:rsidRPr="00930659">
        <w:rPr>
          <w:rStyle w:val="jlqj4b"/>
          <w:rFonts w:ascii="Times New Roman" w:hAnsi="Times New Roman" w:cs="Times New Roman"/>
          <w:sz w:val="24"/>
        </w:rPr>
        <w:t xml:space="preserve"> (2020)</w:t>
      </w:r>
      <w:r w:rsidR="00E24D32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реализации </w:t>
      </w:r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 </w:t>
      </w:r>
      <w:r w:rsidR="00E24D32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групп эквивалентности должно быть меньше или равно размеру шкалы: </w:t>
      </w:r>
      <m:oMath>
        <m:r>
          <w:rPr>
            <w:rFonts w:ascii="Cambria Math" w:hAnsi="Cambria Math" w:cs="Times New Roman"/>
            <w:sz w:val="24"/>
          </w:rPr>
          <m:t>IR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</w:rPr>
              <m:t>L,G</m:t>
            </m:r>
          </m:sub>
        </m:sSub>
        <m:r>
          <w:rPr>
            <w:rFonts w:ascii="Cambria Math" w:hAnsi="Cambria Math" w:cs="Times New Roman"/>
            <w:sz w:val="24"/>
          </w:rPr>
          <m:t>(Q)≠∅</m:t>
        </m:r>
      </m:oMath>
      <w:r w:rsidR="00E24D32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и только тогда, когда </w:t>
      </w:r>
      <m:oMath>
        <m:r>
          <w:rPr>
            <w:rFonts w:ascii="Cambria Math" w:hAnsi="Cambria Math" w:cs="Times New Roman"/>
            <w:sz w:val="24"/>
          </w:rPr>
          <m:t>∀i∈{1,...,l-1}</m:t>
        </m:r>
      </m:oMath>
      <w:r w:rsidR="009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Κ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4"/>
              </w:rPr>
              <m:t>(Q)</m:t>
            </m:r>
          </m:e>
        </m:d>
        <m:r>
          <w:rPr>
            <w:rFonts w:ascii="Cambria Math" w:hAnsi="Cambria Math" w:cs="Times New Roman"/>
            <w:sz w:val="24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L</m:t>
                </m:r>
              </m:sub>
            </m:sSub>
          </m:e>
        </m:d>
      </m:oMath>
      <w:r w:rsidR="00E24D32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Подробно теория изложена в работах: </w:t>
      </w:r>
      <w:proofErr w:type="spellStart"/>
      <w:r w:rsidR="006D3A04" w:rsidRPr="007E30A5">
        <w:rPr>
          <w:rStyle w:val="jlqj4b"/>
          <w:rFonts w:ascii="Times New Roman" w:hAnsi="Times New Roman" w:cs="Times New Roman"/>
          <w:sz w:val="24"/>
          <w:lang w:val="en"/>
        </w:rPr>
        <w:t>Burkov</w:t>
      </w:r>
      <w:proofErr w:type="spellEnd"/>
      <w:r w:rsidR="006D3A04" w:rsidRPr="006D3A04">
        <w:rPr>
          <w:rStyle w:val="jlqj4b"/>
          <w:rFonts w:ascii="Times New Roman" w:hAnsi="Times New Roman" w:cs="Times New Roman"/>
          <w:sz w:val="24"/>
        </w:rPr>
        <w:t xml:space="preserve">, </w:t>
      </w:r>
      <w:proofErr w:type="spellStart"/>
      <w:r w:rsidR="006D3A04" w:rsidRPr="007E30A5">
        <w:rPr>
          <w:rStyle w:val="jlqj4b"/>
          <w:rFonts w:ascii="Times New Roman" w:hAnsi="Times New Roman" w:cs="Times New Roman"/>
          <w:sz w:val="24"/>
          <w:lang w:val="en"/>
        </w:rPr>
        <w:t>Sergeev</w:t>
      </w:r>
      <w:proofErr w:type="spellEnd"/>
      <w:r w:rsidR="006D3A04">
        <w:rPr>
          <w:rStyle w:val="jlqj4b"/>
          <w:rFonts w:ascii="Times New Roman" w:hAnsi="Times New Roman" w:cs="Times New Roman"/>
          <w:sz w:val="24"/>
        </w:rPr>
        <w:t xml:space="preserve">, </w:t>
      </w:r>
      <w:proofErr w:type="spellStart"/>
      <w:r w:rsidR="006D3A04" w:rsidRPr="007E30A5">
        <w:rPr>
          <w:rStyle w:val="jlqj4b"/>
          <w:rFonts w:ascii="Times New Roman" w:hAnsi="Times New Roman" w:cs="Times New Roman"/>
          <w:sz w:val="24"/>
          <w:lang w:val="en"/>
        </w:rPr>
        <w:t>Korgin</w:t>
      </w:r>
      <w:proofErr w:type="spellEnd"/>
      <w:r w:rsidR="006D3A04" w:rsidRPr="006D3A04">
        <w:rPr>
          <w:rStyle w:val="jlqj4b"/>
          <w:rFonts w:ascii="Times New Roman" w:hAnsi="Times New Roman" w:cs="Times New Roman"/>
          <w:sz w:val="24"/>
        </w:rPr>
        <w:t xml:space="preserve"> (2020),</w:t>
      </w:r>
      <w:r w:rsidR="006D3A04" w:rsidRPr="007E30A5">
        <w:rPr>
          <w:rStyle w:val="jlqj4b"/>
          <w:rFonts w:ascii="Times New Roman" w:hAnsi="Times New Roman" w:cs="Times New Roman"/>
          <w:sz w:val="24"/>
        </w:rPr>
        <w:t xml:space="preserve"> </w:t>
      </w:r>
      <w:proofErr w:type="spellStart"/>
      <w:r w:rsidR="006D3A04" w:rsidRPr="007E30A5">
        <w:rPr>
          <w:rStyle w:val="jlqj4b"/>
          <w:rFonts w:ascii="Times New Roman" w:hAnsi="Times New Roman" w:cs="Times New Roman"/>
          <w:sz w:val="24"/>
          <w:lang w:val="en"/>
        </w:rPr>
        <w:t>Korgin</w:t>
      </w:r>
      <w:proofErr w:type="spellEnd"/>
      <w:r w:rsidR="006D3A04">
        <w:rPr>
          <w:rStyle w:val="jlqj4b"/>
          <w:rFonts w:ascii="Times New Roman" w:hAnsi="Times New Roman" w:cs="Times New Roman"/>
          <w:sz w:val="24"/>
        </w:rPr>
        <w:t xml:space="preserve">, </w:t>
      </w:r>
      <w:proofErr w:type="spellStart"/>
      <w:r w:rsidR="006D3A04" w:rsidRPr="007E30A5">
        <w:rPr>
          <w:rStyle w:val="jlqj4b"/>
          <w:rFonts w:ascii="Times New Roman" w:hAnsi="Times New Roman" w:cs="Times New Roman"/>
          <w:sz w:val="24"/>
          <w:lang w:val="en"/>
        </w:rPr>
        <w:t>Sergeev</w:t>
      </w:r>
      <w:proofErr w:type="spellEnd"/>
      <w:r w:rsidR="006D3A04" w:rsidRPr="006D3A04">
        <w:rPr>
          <w:rStyle w:val="jlqj4b"/>
          <w:rFonts w:ascii="Times New Roman" w:hAnsi="Times New Roman" w:cs="Times New Roman"/>
          <w:sz w:val="24"/>
        </w:rPr>
        <w:t xml:space="preserve"> (202</w:t>
      </w:r>
      <w:r w:rsidR="006D3A04" w:rsidRPr="007E30A5">
        <w:rPr>
          <w:rStyle w:val="jlqj4b"/>
          <w:rFonts w:ascii="Times New Roman" w:hAnsi="Times New Roman" w:cs="Times New Roman"/>
          <w:sz w:val="24"/>
        </w:rPr>
        <w:t>1</w:t>
      </w:r>
      <w:r w:rsidR="006D3A04" w:rsidRPr="006D3A04">
        <w:rPr>
          <w:rStyle w:val="jlqj4b"/>
          <w:rFonts w:ascii="Times New Roman" w:hAnsi="Times New Roman" w:cs="Times New Roman"/>
          <w:sz w:val="24"/>
        </w:rPr>
        <w:t>)</w:t>
      </w:r>
      <w:r w:rsidR="00E24D32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22C8" w:rsidRDefault="00E24D32" w:rsidP="00C6261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C62613" w:rsidRPr="007E30A5">
        <w:rPr>
          <w:rStyle w:val="jlqj4b"/>
          <w:rFonts w:ascii="Times New Roman" w:hAnsi="Times New Roman" w:cs="Times New Roman"/>
          <w:sz w:val="24"/>
          <w:szCs w:val="24"/>
          <w:lang w:val="en"/>
        </w:rPr>
        <w:t>Alekseev</w:t>
      </w:r>
      <w:r w:rsidR="00C62613" w:rsidRPr="00C62613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r w:rsidR="00C62613" w:rsidRPr="007E30A5">
        <w:rPr>
          <w:rFonts w:ascii="Times New Roman" w:hAnsi="Times New Roman" w:cs="Times New Roman"/>
          <w:sz w:val="24"/>
          <w:szCs w:val="24"/>
          <w:lang w:val="en-US"/>
        </w:rPr>
        <w:t>Alekseeva</w:t>
      </w:r>
      <w:r w:rsidR="00C62613" w:rsidRPr="00C62613">
        <w:rPr>
          <w:rFonts w:ascii="Times New Roman" w:hAnsi="Times New Roman" w:cs="Times New Roman"/>
          <w:sz w:val="24"/>
          <w:szCs w:val="24"/>
        </w:rPr>
        <w:t xml:space="preserve"> </w:t>
      </w:r>
      <w:r w:rsidR="00C62613" w:rsidRPr="00C62613">
        <w:rPr>
          <w:rStyle w:val="jlqj4b"/>
          <w:rFonts w:ascii="Times New Roman" w:hAnsi="Times New Roman" w:cs="Times New Roman"/>
          <w:sz w:val="24"/>
          <w:szCs w:val="24"/>
        </w:rPr>
        <w:t>(2019)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данные оценки компаний, занимающихся недвижимостью, в зависимости от пяти параметров: дебиторская задолженность, кредиторская задолженность, нераспределенная прибыль, запасы, основные средства. Первоначально рассматривалось двести российских строительных компаний, из которых 100 ликвидированы или находятся в процессе ликвидации в связи с банкротством и 100 экономически успешных компаний, по которым дела о банкротстве не </w:t>
      </w:r>
      <w:r w:rsidR="00C62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были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возбуждены. В результате обработки данных осталось сорок восемь примеров, дублирующие и противоречивые примеры были удалены. Проверка всех возможных ста пяти структур полных деревьев с именованными листьями показала, что наилучший результат аппроксимации для этой задачи реализует сорок пять из сорока восьми, и не существует структуры, которая реализует все сорок восемь примеров. Наилучш</w:t>
      </w:r>
      <w:r w:rsidR="007A22C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аппроксимация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достигается </w:t>
      </w:r>
      <w:r w:rsidR="007A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структуре: M1l3M2l4M3l5M4l1l2. По-прежнему мы не можем найти реализующиеся структуры </w:t>
      </w:r>
      <w:r w:rsidR="00D9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3FD8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</w:t>
      </w:r>
      <w:r w:rsidR="007A2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если мы изменим шкалу на пять, то окажется, что мы найдем пятнадцать структур, которые могли бы быть реализованы. </w:t>
      </w:r>
    </w:p>
    <w:p w:rsidR="00E24D32" w:rsidRDefault="00E24D32" w:rsidP="00C6261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</w:t>
      </w:r>
      <w:r w:rsidR="007A2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еный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 показывает, что предложенный подход к анализу</w:t>
      </w:r>
      <w:r w:rsidR="003B279C" w:rsidRPr="003B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79C"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наборов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79C" w:rsidRPr="003B279C">
        <w:rPr>
          <w:rStyle w:val="jlqj4b"/>
          <w:rFonts w:ascii="Times New Roman" w:hAnsi="Times New Roman" w:cs="Times New Roman"/>
          <w:sz w:val="24"/>
          <w:szCs w:val="24"/>
        </w:rPr>
        <w:t>порядковых</w:t>
      </w:r>
      <w:r w:rsidR="003B279C" w:rsidRPr="003B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в качественных или категориальных оценках позволяет получить описание исходных данных в виде механизма. Используя </w:t>
      </w:r>
      <w:r w:rsidR="007A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групп 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эквивалентности и </w:t>
      </w:r>
      <w:r w:rsidR="007A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шкалы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построили несколько механизмов для описываемых данных. Также были показаны возможности анализа влияния отдельных переменных и групп переменных на конечное значение </w:t>
      </w:r>
      <w:r w:rsidR="00D93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интегрального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и выделения целевых примеров для дальнейшей идентификации модели. Эта функциональность вполне применима к областям, где традиционно используется </w:t>
      </w:r>
      <w:r w:rsidR="007A2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</w:t>
      </w:r>
      <w:r w:rsidRPr="00E2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таким как маркетинг, здравоохранение и оценка окружающей среды. </w:t>
      </w:r>
    </w:p>
    <w:p w:rsidR="00D93FD8" w:rsidRDefault="00D93FD8" w:rsidP="00C6261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FD8" w:rsidRDefault="00D93FD8" w:rsidP="00D93FD8">
      <w:pPr>
        <w:pStyle w:val="Bibliografa1"/>
      </w:pPr>
      <w:r w:rsidRPr="00997328">
        <w:t xml:space="preserve">Alekseev A., Alekseeva I., </w:t>
      </w:r>
      <w:proofErr w:type="spellStart"/>
      <w:r w:rsidRPr="00997328">
        <w:t>Noskova</w:t>
      </w:r>
      <w:proofErr w:type="spellEnd"/>
      <w:r w:rsidRPr="00997328">
        <w:t xml:space="preserve"> A., </w:t>
      </w:r>
      <w:proofErr w:type="spellStart"/>
      <w:r w:rsidRPr="00997328">
        <w:t>Kylosova</w:t>
      </w:r>
      <w:proofErr w:type="spellEnd"/>
      <w:r w:rsidRPr="00997328">
        <w:t xml:space="preserve"> V., </w:t>
      </w:r>
      <w:proofErr w:type="spellStart"/>
      <w:r w:rsidRPr="00997328">
        <w:t>Knyazeva</w:t>
      </w:r>
      <w:proofErr w:type="spellEnd"/>
      <w:r w:rsidRPr="00997328">
        <w:t xml:space="preserve"> A.</w:t>
      </w:r>
      <w:r w:rsidRPr="000C1931">
        <w:t xml:space="preserve"> (</w:t>
      </w:r>
      <w:r w:rsidRPr="00997328">
        <w:t>2019</w:t>
      </w:r>
      <w:r w:rsidRPr="000C1931">
        <w:t>).</w:t>
      </w:r>
      <w:r w:rsidRPr="00997328">
        <w:t xml:space="preserve"> New Applications of the Annual Fiscal Accounting Analysis at the Risk Assessment. Advances in Computer Science Research, 2019, vol. 85, pp. 61-66. DOI 10.2991/cmdm-18.11.</w:t>
      </w:r>
    </w:p>
    <w:p w:rsidR="00D93FD8" w:rsidRPr="002225D9" w:rsidRDefault="00D93FD8" w:rsidP="00D93FD8">
      <w:pPr>
        <w:pStyle w:val="Bibliografa1"/>
        <w:rPr>
          <w:shd w:val="clear" w:color="auto" w:fill="FFFFFF"/>
        </w:rPr>
      </w:pPr>
      <w:proofErr w:type="spellStart"/>
      <w:r w:rsidRPr="00C24970">
        <w:rPr>
          <w:shd w:val="clear" w:color="auto" w:fill="FFFFFF"/>
        </w:rPr>
        <w:t>Burkov</w:t>
      </w:r>
      <w:proofErr w:type="spellEnd"/>
      <w:r>
        <w:rPr>
          <w:shd w:val="clear" w:color="auto" w:fill="FFFFFF"/>
        </w:rPr>
        <w:t>,</w:t>
      </w:r>
      <w:r w:rsidRPr="00C24970">
        <w:rPr>
          <w:shd w:val="clear" w:color="auto" w:fill="FFFFFF"/>
        </w:rPr>
        <w:t xml:space="preserve"> V., </w:t>
      </w:r>
      <w:proofErr w:type="spellStart"/>
      <w:r w:rsidRPr="00C24970">
        <w:rPr>
          <w:shd w:val="clear" w:color="auto" w:fill="FFFFFF"/>
        </w:rPr>
        <w:t>Sergeev</w:t>
      </w:r>
      <w:proofErr w:type="spellEnd"/>
      <w:r>
        <w:rPr>
          <w:shd w:val="clear" w:color="auto" w:fill="FFFFFF"/>
        </w:rPr>
        <w:t>,</w:t>
      </w:r>
      <w:r w:rsidRPr="00C24970">
        <w:rPr>
          <w:shd w:val="clear" w:color="auto" w:fill="FFFFFF"/>
        </w:rPr>
        <w:t xml:space="preserve"> V., </w:t>
      </w:r>
      <w:proofErr w:type="spellStart"/>
      <w:r w:rsidRPr="00C24970">
        <w:rPr>
          <w:shd w:val="clear" w:color="auto" w:fill="FFFFFF"/>
        </w:rPr>
        <w:t>Korgin</w:t>
      </w:r>
      <w:proofErr w:type="spellEnd"/>
      <w:r>
        <w:rPr>
          <w:shd w:val="clear" w:color="auto" w:fill="FFFFFF"/>
        </w:rPr>
        <w:t>,</w:t>
      </w:r>
      <w:r w:rsidRPr="00C24970">
        <w:rPr>
          <w:shd w:val="clear" w:color="auto" w:fill="FFFFFF"/>
        </w:rPr>
        <w:t xml:space="preserve"> N.</w:t>
      </w:r>
      <w:r w:rsidRPr="00E93B68">
        <w:rPr>
          <w:shd w:val="clear" w:color="auto" w:fill="FFFFFF"/>
        </w:rPr>
        <w:t xml:space="preserve"> (</w:t>
      </w:r>
      <w:r w:rsidRPr="00C24970">
        <w:rPr>
          <w:shd w:val="clear" w:color="auto" w:fill="FFFFFF"/>
        </w:rPr>
        <w:t>2020</w:t>
      </w:r>
      <w:r w:rsidRPr="00E93B68">
        <w:rPr>
          <w:shd w:val="clear" w:color="auto" w:fill="FFFFFF"/>
        </w:rPr>
        <w:t>).</w:t>
      </w:r>
      <w:r w:rsidRPr="00C24970">
        <w:rPr>
          <w:shd w:val="clear" w:color="auto" w:fill="FFFFFF"/>
        </w:rPr>
        <w:t xml:space="preserve"> Identification of Integrated Rating Mechanisms as Optimization Problem</w:t>
      </w:r>
      <w:r>
        <w:rPr>
          <w:shd w:val="clear" w:color="auto" w:fill="FFFFFF"/>
        </w:rPr>
        <w:t>.</w:t>
      </w:r>
      <w:r w:rsidRPr="00C24970">
        <w:rPr>
          <w:shd w:val="clear" w:color="auto" w:fill="FFFFFF"/>
        </w:rPr>
        <w:t xml:space="preserve"> </w:t>
      </w:r>
      <w:r w:rsidRPr="00E57AEC">
        <w:rPr>
          <w:i/>
          <w:iCs/>
          <w:shd w:val="clear" w:color="auto" w:fill="FFFFFF"/>
        </w:rPr>
        <w:t>13th International Conference</w:t>
      </w:r>
      <w:r>
        <w:rPr>
          <w:i/>
          <w:iCs/>
          <w:shd w:val="clear" w:color="auto" w:fill="FFFFFF"/>
        </w:rPr>
        <w:t xml:space="preserve"> </w:t>
      </w:r>
      <w:r w:rsidRPr="00E57AEC">
        <w:rPr>
          <w:i/>
          <w:iCs/>
          <w:shd w:val="clear" w:color="auto" w:fill="FFFFFF"/>
        </w:rPr>
        <w:t>"Management of large-scale system development"</w:t>
      </w:r>
      <w:r>
        <w:rPr>
          <w:i/>
          <w:iCs/>
          <w:shd w:val="clear" w:color="auto" w:fill="FFFFFF"/>
        </w:rPr>
        <w:t xml:space="preserve"> </w:t>
      </w:r>
      <w:r w:rsidRPr="00E57AEC">
        <w:rPr>
          <w:i/>
          <w:iCs/>
          <w:shd w:val="clear" w:color="auto" w:fill="FFFFFF"/>
        </w:rPr>
        <w:t>(MLSD)</w:t>
      </w:r>
      <w:r>
        <w:rPr>
          <w:shd w:val="clear" w:color="auto" w:fill="FFFFFF"/>
        </w:rPr>
        <w:t>,</w:t>
      </w:r>
      <w:r w:rsidRPr="00C24970">
        <w:rPr>
          <w:shd w:val="clear" w:color="auto" w:fill="FFFFFF"/>
        </w:rPr>
        <w:t xml:space="preserve"> IEEE</w:t>
      </w:r>
      <w:r>
        <w:rPr>
          <w:shd w:val="clear" w:color="auto" w:fill="FFFFFF"/>
        </w:rPr>
        <w:t>,</w:t>
      </w:r>
      <w:r w:rsidRPr="00C24970">
        <w:rPr>
          <w:shd w:val="clear" w:color="auto" w:fill="FFFFFF"/>
        </w:rPr>
        <w:t xml:space="preserve"> </w:t>
      </w:r>
      <w:r>
        <w:rPr>
          <w:shd w:val="clear" w:color="auto" w:fill="FFFFFF"/>
        </w:rPr>
        <w:t>pp</w:t>
      </w:r>
      <w:r w:rsidRPr="00C24970">
        <w:rPr>
          <w:shd w:val="clear" w:color="auto" w:fill="FFFFFF"/>
        </w:rPr>
        <w:t>. 1-5.</w:t>
      </w:r>
    </w:p>
    <w:p w:rsidR="00D93FD8" w:rsidRPr="00395C3A" w:rsidRDefault="00D93FD8" w:rsidP="00D93FD8">
      <w:pPr>
        <w:pStyle w:val="Bibliografa1"/>
      </w:pPr>
      <w:proofErr w:type="spellStart"/>
      <w:r w:rsidRPr="00442BB7">
        <w:t>Gurobi</w:t>
      </w:r>
      <w:proofErr w:type="spellEnd"/>
      <w:r w:rsidRPr="00442BB7">
        <w:t xml:space="preserve"> Optimization, LLC</w:t>
      </w:r>
      <w:r>
        <w:t xml:space="preserve">. (2021). </w:t>
      </w:r>
      <w:proofErr w:type="spellStart"/>
      <w:r w:rsidRPr="00442BB7">
        <w:t>Gurobi</w:t>
      </w:r>
      <w:proofErr w:type="spellEnd"/>
      <w:r w:rsidRPr="00442BB7">
        <w:t xml:space="preserve"> Optimizer Reference Manual</w:t>
      </w:r>
      <w:r>
        <w:t xml:space="preserve">. </w:t>
      </w:r>
      <w:r w:rsidRPr="00442BB7">
        <w:t>https://www.gurobi.com</w:t>
      </w:r>
    </w:p>
    <w:p w:rsidR="00D93FD8" w:rsidRDefault="00D93FD8" w:rsidP="00D93FD8">
      <w:pPr>
        <w:pStyle w:val="Bibliografa1"/>
        <w:rPr>
          <w:i/>
          <w:iCs/>
        </w:rPr>
      </w:pPr>
      <w:proofErr w:type="spellStart"/>
      <w:r w:rsidRPr="007B054B">
        <w:t>Hoyos</w:t>
      </w:r>
      <w:proofErr w:type="spellEnd"/>
      <w:r>
        <w:t>,</w:t>
      </w:r>
      <w:r w:rsidRPr="007B054B">
        <w:t xml:space="preserve"> D. (2010). The state of the art of environmental valuation with discrete choice experiments</w:t>
      </w:r>
      <w:r>
        <w:rPr>
          <w:i/>
          <w:iCs/>
        </w:rPr>
        <w:t xml:space="preserve">. </w:t>
      </w:r>
      <w:r w:rsidRPr="007B054B">
        <w:rPr>
          <w:i/>
          <w:iCs/>
        </w:rPr>
        <w:t>Ecological Economics,</w:t>
      </w:r>
      <w:r>
        <w:rPr>
          <w:i/>
          <w:iCs/>
        </w:rPr>
        <w:t xml:space="preserve"> </w:t>
      </w:r>
      <w:r w:rsidRPr="00223AE8">
        <w:t>volume 69, issue 8, pp. 1595-1603</w:t>
      </w:r>
      <w:r>
        <w:rPr>
          <w:i/>
          <w:iCs/>
        </w:rPr>
        <w:t>.</w:t>
      </w:r>
    </w:p>
    <w:p w:rsidR="00D93FD8" w:rsidRPr="003C0EDA" w:rsidRDefault="00D93FD8" w:rsidP="00D93FD8">
      <w:pPr>
        <w:pStyle w:val="Bibliografa1"/>
        <w:rPr>
          <w:i/>
          <w:iCs/>
          <w:szCs w:val="20"/>
        </w:rPr>
      </w:pPr>
      <w:proofErr w:type="spellStart"/>
      <w:r w:rsidRPr="003C0EDA">
        <w:rPr>
          <w:szCs w:val="20"/>
        </w:rPr>
        <w:t>Korgin</w:t>
      </w:r>
      <w:proofErr w:type="spellEnd"/>
      <w:r w:rsidRPr="003C0EDA">
        <w:rPr>
          <w:szCs w:val="20"/>
        </w:rPr>
        <w:t xml:space="preserve"> N. and </w:t>
      </w:r>
      <w:proofErr w:type="spellStart"/>
      <w:r w:rsidRPr="003C0EDA">
        <w:rPr>
          <w:szCs w:val="20"/>
        </w:rPr>
        <w:t>Sergeev</w:t>
      </w:r>
      <w:proofErr w:type="spellEnd"/>
      <w:r w:rsidRPr="003C0EDA">
        <w:rPr>
          <w:szCs w:val="20"/>
        </w:rPr>
        <w:t xml:space="preserve"> V.</w:t>
      </w:r>
      <w:r w:rsidRPr="000C1931">
        <w:rPr>
          <w:szCs w:val="20"/>
        </w:rPr>
        <w:t xml:space="preserve"> (2021)</w:t>
      </w:r>
      <w:r w:rsidRPr="003C0EDA">
        <w:rPr>
          <w:szCs w:val="20"/>
        </w:rPr>
        <w:t xml:space="preserve"> Identification of Integrated Rating Mechanisms on Complete Data Sets // Advances in Production Management Systems. Artificial Intelligence for Sustainable and Resilient Production Systems. Springer. 2021 Nantes, France. Proceedings, Part I. pp. 610-616</w:t>
      </w:r>
    </w:p>
    <w:p w:rsidR="00D93FD8" w:rsidRDefault="00D93FD8" w:rsidP="00D93FD8">
      <w:pPr>
        <w:pStyle w:val="Bibliografa1"/>
        <w:rPr>
          <w:rStyle w:val="jlqj4b"/>
        </w:rPr>
      </w:pPr>
      <w:proofErr w:type="spellStart"/>
      <w:r w:rsidRPr="00705C8D">
        <w:t>Larichev</w:t>
      </w:r>
      <w:proofErr w:type="spellEnd"/>
      <w:r w:rsidRPr="00705C8D">
        <w:t xml:space="preserve">, O. </w:t>
      </w:r>
      <w:r>
        <w:t>and</w:t>
      </w:r>
      <w:r w:rsidRPr="00705C8D">
        <w:t xml:space="preserve"> </w:t>
      </w:r>
      <w:proofErr w:type="spellStart"/>
      <w:r w:rsidRPr="00705C8D">
        <w:t>Moshkovich</w:t>
      </w:r>
      <w:proofErr w:type="spellEnd"/>
      <w:r w:rsidRPr="00705C8D">
        <w:t>, H. (</w:t>
      </w:r>
      <w:r>
        <w:t>1997</w:t>
      </w:r>
      <w:r w:rsidRPr="00705C8D">
        <w:t>). </w:t>
      </w:r>
      <w:r w:rsidRPr="00705C8D">
        <w:rPr>
          <w:i/>
          <w:iCs/>
        </w:rPr>
        <w:t>Verbal decision analysis for unstructured problems</w:t>
      </w:r>
      <w:r>
        <w:t xml:space="preserve">. </w:t>
      </w:r>
      <w:r>
        <w:rPr>
          <w:shd w:val="clear" w:color="auto" w:fill="FCFCFC"/>
        </w:rPr>
        <w:t>Boston: Springer.</w:t>
      </w:r>
    </w:p>
    <w:p w:rsidR="00D93FD8" w:rsidRDefault="00D93FD8" w:rsidP="00D93FD8">
      <w:pPr>
        <w:pStyle w:val="Bibliografa1"/>
        <w:rPr>
          <w:rFonts w:cs="Times"/>
          <w:noProof/>
        </w:rPr>
      </w:pPr>
      <w:r w:rsidRPr="00C17803">
        <w:rPr>
          <w:rFonts w:cs="Times"/>
          <w:noProof/>
        </w:rPr>
        <w:t>Mariel</w:t>
      </w:r>
      <w:r>
        <w:rPr>
          <w:rFonts w:cs="Times"/>
          <w:noProof/>
        </w:rPr>
        <w:t>,</w:t>
      </w:r>
      <w:r w:rsidRPr="00C17803">
        <w:rPr>
          <w:rFonts w:cs="Times"/>
          <w:noProof/>
        </w:rPr>
        <w:t xml:space="preserve"> P. et al. </w:t>
      </w:r>
      <w:r w:rsidRPr="0080431D">
        <w:rPr>
          <w:rFonts w:cs="Times"/>
          <w:noProof/>
        </w:rPr>
        <w:t>(2021)</w:t>
      </w:r>
      <w:r>
        <w:rPr>
          <w:rFonts w:cs="Times"/>
          <w:noProof/>
        </w:rPr>
        <w:t>.</w:t>
      </w:r>
      <w:r w:rsidRPr="0080431D">
        <w:rPr>
          <w:rFonts w:cs="Times"/>
          <w:noProof/>
        </w:rPr>
        <w:t xml:space="preserve"> </w:t>
      </w:r>
      <w:r w:rsidRPr="00C17803">
        <w:rPr>
          <w:rFonts w:cs="Times"/>
          <w:noProof/>
        </w:rPr>
        <w:t>Environmental valuation with discrete choice experiments: Guidance on design, implementation and data analysis.</w:t>
      </w:r>
      <w:r w:rsidRPr="0080431D">
        <w:rPr>
          <w:rFonts w:cs="Times"/>
          <w:noProof/>
        </w:rPr>
        <w:t xml:space="preserve"> </w:t>
      </w:r>
      <w:r w:rsidRPr="0080431D">
        <w:rPr>
          <w:rFonts w:cs="Times"/>
          <w:i/>
          <w:noProof/>
        </w:rPr>
        <w:t>Springer Nature</w:t>
      </w:r>
      <w:r w:rsidRPr="00C17803">
        <w:rPr>
          <w:rFonts w:cs="Times"/>
          <w:noProof/>
        </w:rPr>
        <w:t xml:space="preserve">, 2021. </w:t>
      </w:r>
      <w:r>
        <w:rPr>
          <w:rFonts w:cs="Times"/>
          <w:noProof/>
        </w:rPr>
        <w:t>pp</w:t>
      </w:r>
      <w:r w:rsidRPr="00C17803">
        <w:rPr>
          <w:rFonts w:cs="Times"/>
          <w:noProof/>
        </w:rPr>
        <w:t>. 129.</w:t>
      </w:r>
    </w:p>
    <w:p w:rsidR="00D93FD8" w:rsidRPr="007963E0" w:rsidRDefault="00D93FD8" w:rsidP="00D93FD8">
      <w:pPr>
        <w:pStyle w:val="Bibliografa1"/>
        <w:rPr>
          <w:rFonts w:cs="Times"/>
          <w:noProof/>
        </w:rPr>
      </w:pPr>
      <w:r w:rsidRPr="00806B8F">
        <w:rPr>
          <w:rFonts w:cs="Times"/>
          <w:noProof/>
        </w:rPr>
        <w:t>Moshkovich</w:t>
      </w:r>
      <w:r>
        <w:rPr>
          <w:rFonts w:cs="Times"/>
          <w:noProof/>
        </w:rPr>
        <w:t>,</w:t>
      </w:r>
      <w:r w:rsidRPr="00806B8F">
        <w:rPr>
          <w:rFonts w:cs="Times"/>
          <w:noProof/>
        </w:rPr>
        <w:t xml:space="preserve"> H</w:t>
      </w:r>
      <w:r>
        <w:rPr>
          <w:rFonts w:cs="Times"/>
          <w:noProof/>
        </w:rPr>
        <w:t>. and</w:t>
      </w:r>
      <w:r w:rsidRPr="00806B8F">
        <w:rPr>
          <w:rFonts w:cs="Times"/>
          <w:noProof/>
        </w:rPr>
        <w:t xml:space="preserve"> Mechitov</w:t>
      </w:r>
      <w:r>
        <w:rPr>
          <w:rFonts w:cs="Times"/>
          <w:noProof/>
        </w:rPr>
        <w:t>,</w:t>
      </w:r>
      <w:r w:rsidRPr="00806B8F">
        <w:rPr>
          <w:rFonts w:cs="Times"/>
          <w:noProof/>
        </w:rPr>
        <w:t xml:space="preserve"> A</w:t>
      </w:r>
      <w:r>
        <w:rPr>
          <w:rFonts w:cs="Times"/>
          <w:noProof/>
        </w:rPr>
        <w:t>.</w:t>
      </w:r>
      <w:r w:rsidRPr="00806B8F">
        <w:rPr>
          <w:rFonts w:cs="Times"/>
          <w:noProof/>
        </w:rPr>
        <w:t xml:space="preserve"> </w:t>
      </w:r>
      <w:r>
        <w:rPr>
          <w:rFonts w:cs="Times"/>
          <w:noProof/>
        </w:rPr>
        <w:t xml:space="preserve">(2013). </w:t>
      </w:r>
      <w:r w:rsidRPr="00806B8F">
        <w:rPr>
          <w:rFonts w:cs="Times"/>
          <w:noProof/>
        </w:rPr>
        <w:t>Verbal Decision Analysis: Foundations and Trends</w:t>
      </w:r>
      <w:r>
        <w:rPr>
          <w:rFonts w:cs="Times"/>
          <w:noProof/>
        </w:rPr>
        <w:t xml:space="preserve">. </w:t>
      </w:r>
      <w:r w:rsidRPr="00806B8F">
        <w:rPr>
          <w:rFonts w:cs="Times"/>
          <w:i/>
          <w:iCs/>
          <w:noProof/>
        </w:rPr>
        <w:t>Advances in Decision Sciences</w:t>
      </w:r>
      <w:r>
        <w:rPr>
          <w:rFonts w:cs="Times"/>
          <w:noProof/>
        </w:rPr>
        <w:t>, v</w:t>
      </w:r>
      <w:r w:rsidRPr="00806B8F">
        <w:rPr>
          <w:rFonts w:cs="Times"/>
          <w:noProof/>
        </w:rPr>
        <w:t xml:space="preserve">olume 2013, 697072, </w:t>
      </w:r>
      <w:r>
        <w:rPr>
          <w:rFonts w:cs="Times"/>
          <w:noProof/>
        </w:rPr>
        <w:t>pp 1-</w:t>
      </w:r>
      <w:r w:rsidRPr="00806B8F">
        <w:rPr>
          <w:rFonts w:cs="Times"/>
          <w:noProof/>
        </w:rPr>
        <w:t>9</w:t>
      </w:r>
      <w:r>
        <w:rPr>
          <w:rFonts w:cs="Times"/>
          <w:noProof/>
        </w:rPr>
        <w:t>.</w:t>
      </w:r>
    </w:p>
    <w:p w:rsidR="00D93FD8" w:rsidRPr="00E24D32" w:rsidRDefault="00D93FD8" w:rsidP="00C6261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32" w:rsidRPr="00E24D32" w:rsidRDefault="00E24D32" w:rsidP="00E2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DF" w:rsidRPr="00E24D32" w:rsidRDefault="00D677DF">
      <w:pPr>
        <w:rPr>
          <w:rFonts w:ascii="Times New Roman" w:hAnsi="Times New Roman" w:cs="Times New Roman"/>
          <w:sz w:val="24"/>
          <w:szCs w:val="24"/>
        </w:rPr>
      </w:pPr>
    </w:p>
    <w:sectPr w:rsidR="00D677DF" w:rsidRPr="00E2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32"/>
    <w:rsid w:val="003B279C"/>
    <w:rsid w:val="006D3A04"/>
    <w:rsid w:val="007A22C8"/>
    <w:rsid w:val="00930659"/>
    <w:rsid w:val="009C6C01"/>
    <w:rsid w:val="00C62613"/>
    <w:rsid w:val="00D677DF"/>
    <w:rsid w:val="00D93FD8"/>
    <w:rsid w:val="00E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1F7A"/>
  <w15:chartTrackingRefBased/>
  <w15:docId w15:val="{FA7906C8-CD77-4396-941F-A8533E0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4D32"/>
    <w:rPr>
      <w:color w:val="0000FF"/>
      <w:u w:val="single"/>
    </w:rPr>
  </w:style>
  <w:style w:type="character" w:customStyle="1" w:styleId="jlqj4b">
    <w:name w:val="jlqj4b"/>
    <w:basedOn w:val="a0"/>
    <w:rsid w:val="00E24D32"/>
  </w:style>
  <w:style w:type="character" w:customStyle="1" w:styleId="viiyi">
    <w:name w:val="viiyi"/>
    <w:basedOn w:val="a0"/>
    <w:rsid w:val="00E24D32"/>
  </w:style>
  <w:style w:type="paragraph" w:customStyle="1" w:styleId="Bibliografa1">
    <w:name w:val="Bibliografía1"/>
    <w:basedOn w:val="a"/>
    <w:qFormat/>
    <w:rsid w:val="00D93FD8"/>
    <w:pPr>
      <w:snapToGrid w:val="0"/>
      <w:spacing w:line="240" w:lineRule="auto"/>
      <w:ind w:left="454" w:hanging="454"/>
      <w:jc w:val="both"/>
    </w:pPr>
    <w:rPr>
      <w:rFonts w:ascii="Times" w:hAnsi="Times" w:cs="Times New Roman (Cuerpo en alf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2021-11-15T13:54:00Z</dcterms:created>
  <dcterms:modified xsi:type="dcterms:W3CDTF">2021-11-15T15:08:00Z</dcterms:modified>
</cp:coreProperties>
</file>