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5148" w14:textId="06458400" w:rsidR="00D167E3" w:rsidRPr="009D735F" w:rsidRDefault="00D167E3" w:rsidP="00D167E3">
      <w:pPr>
        <w:spacing w:line="360" w:lineRule="auto"/>
        <w:jc w:val="both"/>
        <w:rPr>
          <w:rFonts w:ascii="Times New Roman" w:hAnsi="Times New Roman"/>
          <w:b/>
          <w:bCs/>
          <w:sz w:val="28"/>
          <w:szCs w:val="28"/>
          <w:lang w:val="en-US"/>
        </w:rPr>
      </w:pPr>
      <w:r w:rsidRPr="009D735F">
        <w:rPr>
          <w:rFonts w:ascii="Times New Roman" w:hAnsi="Times New Roman"/>
          <w:b/>
          <w:bCs/>
          <w:sz w:val="28"/>
          <w:szCs w:val="28"/>
          <w:lang w:val="en-US"/>
        </w:rPr>
        <w:t xml:space="preserve">Anna MIKHAYLOVA, </w:t>
      </w:r>
      <w:r>
        <w:rPr>
          <w:rFonts w:ascii="Times New Roman" w:hAnsi="Times New Roman"/>
          <w:b/>
          <w:bCs/>
          <w:sz w:val="28"/>
          <w:szCs w:val="28"/>
          <w:lang w:val="en-US"/>
        </w:rPr>
        <w:t xml:space="preserve">PhD, </w:t>
      </w:r>
      <w:r w:rsidRPr="009D735F">
        <w:rPr>
          <w:rFonts w:ascii="Times New Roman" w:hAnsi="Times New Roman"/>
          <w:sz w:val="28"/>
          <w:szCs w:val="28"/>
          <w:lang w:val="en-US"/>
        </w:rPr>
        <w:t>Russian Presidential Academy of National Economy and Public Administration (Moscow, Russia)</w:t>
      </w:r>
    </w:p>
    <w:p w14:paraId="64441995" w14:textId="61EB681A" w:rsidR="00D167E3" w:rsidRPr="00D167E3" w:rsidRDefault="00D167E3" w:rsidP="00D167E3">
      <w:pPr>
        <w:spacing w:line="360" w:lineRule="auto"/>
        <w:jc w:val="both"/>
        <w:rPr>
          <w:rFonts w:ascii="Times New Roman" w:hAnsi="Times New Roman"/>
          <w:b/>
          <w:bCs/>
          <w:sz w:val="28"/>
          <w:szCs w:val="28"/>
          <w:lang w:val="en-US"/>
        </w:rPr>
      </w:pPr>
      <w:proofErr w:type="spellStart"/>
      <w:r w:rsidRPr="009D735F">
        <w:rPr>
          <w:rFonts w:ascii="Times New Roman" w:hAnsi="Times New Roman"/>
          <w:b/>
          <w:bCs/>
          <w:sz w:val="28"/>
          <w:szCs w:val="28"/>
          <w:lang w:val="en-US"/>
        </w:rPr>
        <w:t>Evgeny</w:t>
      </w:r>
      <w:proofErr w:type="spellEnd"/>
      <w:r w:rsidRPr="009D735F">
        <w:rPr>
          <w:rFonts w:ascii="Times New Roman" w:hAnsi="Times New Roman"/>
          <w:b/>
          <w:bCs/>
          <w:sz w:val="28"/>
          <w:szCs w:val="28"/>
          <w:lang w:val="en-US"/>
        </w:rPr>
        <w:t xml:space="preserve"> </w:t>
      </w:r>
      <w:r>
        <w:rPr>
          <w:rFonts w:ascii="Times New Roman" w:hAnsi="Times New Roman"/>
          <w:b/>
          <w:bCs/>
          <w:sz w:val="28"/>
          <w:szCs w:val="28"/>
          <w:lang w:val="en-US"/>
        </w:rPr>
        <w:t>TIMUSHEV</w:t>
      </w:r>
      <w:r w:rsidRPr="009D735F">
        <w:rPr>
          <w:rFonts w:ascii="Times New Roman" w:hAnsi="Times New Roman"/>
          <w:b/>
          <w:bCs/>
          <w:sz w:val="28"/>
          <w:szCs w:val="28"/>
          <w:lang w:val="en-US"/>
        </w:rPr>
        <w:t xml:space="preserve">, </w:t>
      </w:r>
      <w:r>
        <w:rPr>
          <w:rFonts w:ascii="Times New Roman" w:hAnsi="Times New Roman"/>
          <w:b/>
          <w:bCs/>
          <w:sz w:val="28"/>
          <w:szCs w:val="28"/>
          <w:lang w:val="en-US"/>
        </w:rPr>
        <w:t xml:space="preserve">PhD, </w:t>
      </w:r>
      <w:r w:rsidRPr="009D735F">
        <w:rPr>
          <w:rFonts w:ascii="Times New Roman" w:hAnsi="Times New Roman"/>
          <w:sz w:val="28"/>
          <w:szCs w:val="28"/>
          <w:lang w:val="en-US"/>
        </w:rPr>
        <w:t>Federal research center Komi scientific center of the Ural branch of the Russian Academy of Sciences (Syktyvkar, Russia)</w:t>
      </w:r>
    </w:p>
    <w:p w14:paraId="3A84B3E3" w14:textId="77777777" w:rsidR="00882DD6" w:rsidRPr="00D167E3" w:rsidRDefault="00882DD6" w:rsidP="00EA3F8A">
      <w:pPr>
        <w:spacing w:after="0" w:line="360" w:lineRule="auto"/>
        <w:ind w:firstLine="709"/>
        <w:jc w:val="both"/>
        <w:rPr>
          <w:rFonts w:ascii="Times New Roman" w:hAnsi="Times New Roman"/>
          <w:sz w:val="24"/>
          <w:szCs w:val="24"/>
          <w:lang w:val="en-US"/>
        </w:rPr>
      </w:pPr>
    </w:p>
    <w:p w14:paraId="78E73722" w14:textId="4169B0B2" w:rsidR="00F3400F" w:rsidRPr="00D167E3" w:rsidRDefault="00D167E3" w:rsidP="00EA3F8A">
      <w:pPr>
        <w:spacing w:after="0" w:line="360" w:lineRule="auto"/>
        <w:jc w:val="both"/>
        <w:rPr>
          <w:rFonts w:ascii="Times New Roman" w:eastAsiaTheme="minorHAnsi" w:hAnsi="Times New Roman"/>
          <w:b/>
          <w:bCs/>
          <w:sz w:val="28"/>
          <w:szCs w:val="28"/>
          <w:lang w:val="en-US"/>
        </w:rPr>
      </w:pPr>
      <w:bookmarkStart w:id="0" w:name="_Hlk79414600"/>
      <w:r>
        <w:rPr>
          <w:rFonts w:ascii="Times New Roman" w:eastAsiaTheme="minorHAnsi" w:hAnsi="Times New Roman"/>
          <w:b/>
          <w:bCs/>
          <w:sz w:val="28"/>
          <w:szCs w:val="28"/>
          <w:lang w:val="en-US"/>
        </w:rPr>
        <w:t>V</w:t>
      </w:r>
      <w:r w:rsidRPr="00D167E3">
        <w:rPr>
          <w:rFonts w:ascii="Times New Roman" w:eastAsiaTheme="minorHAnsi" w:hAnsi="Times New Roman"/>
          <w:b/>
          <w:bCs/>
          <w:sz w:val="28"/>
          <w:szCs w:val="28"/>
          <w:lang w:val="en-US"/>
        </w:rPr>
        <w:t>ertical Fiscal Imbalance and Debt Sustainability of Russian Regions after 2020: Analysis of the Relationship Using Credit Ratings</w:t>
      </w:r>
      <w:r w:rsidRPr="00D167E3">
        <w:rPr>
          <w:rStyle w:val="ab"/>
          <w:rFonts w:ascii="Times New Roman" w:eastAsiaTheme="minorHAnsi" w:hAnsi="Times New Roman"/>
          <w:b/>
          <w:bCs/>
          <w:sz w:val="28"/>
          <w:szCs w:val="28"/>
          <w:vertAlign w:val="baseline"/>
          <w:lang w:val="en-US"/>
        </w:rPr>
        <w:t xml:space="preserve"> </w:t>
      </w:r>
      <w:r w:rsidR="0051555A">
        <w:rPr>
          <w:rStyle w:val="ab"/>
          <w:rFonts w:ascii="Times New Roman" w:eastAsiaTheme="minorHAnsi" w:hAnsi="Times New Roman"/>
          <w:b/>
          <w:bCs/>
          <w:sz w:val="28"/>
          <w:szCs w:val="28"/>
        </w:rPr>
        <w:footnoteReference w:id="1"/>
      </w:r>
    </w:p>
    <w:p w14:paraId="3629C3C0" w14:textId="77777777" w:rsidR="00D03016" w:rsidRPr="00D167E3" w:rsidRDefault="00D03016" w:rsidP="00EA3F8A">
      <w:pPr>
        <w:spacing w:after="0" w:line="360" w:lineRule="auto"/>
        <w:ind w:firstLine="709"/>
        <w:jc w:val="both"/>
        <w:rPr>
          <w:rFonts w:ascii="Times New Roman" w:hAnsi="Times New Roman"/>
          <w:sz w:val="24"/>
          <w:szCs w:val="24"/>
          <w:lang w:val="en-US"/>
        </w:rPr>
      </w:pPr>
    </w:p>
    <w:p w14:paraId="24519373" w14:textId="1D0EEAFB" w:rsidR="008B2E55" w:rsidRPr="000B37C4" w:rsidRDefault="008B2E55" w:rsidP="00E22332">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Region’s</w:t>
      </w:r>
      <w:r w:rsidRPr="008B2E55">
        <w:rPr>
          <w:rFonts w:ascii="Times New Roman" w:hAnsi="Times New Roman"/>
          <w:sz w:val="24"/>
          <w:szCs w:val="24"/>
          <w:lang w:val="en-US"/>
        </w:rPr>
        <w:t xml:space="preserve"> </w:t>
      </w:r>
      <w:r>
        <w:rPr>
          <w:rFonts w:ascii="Times New Roman" w:hAnsi="Times New Roman"/>
          <w:sz w:val="24"/>
          <w:szCs w:val="24"/>
          <w:lang w:val="en-US"/>
        </w:rPr>
        <w:t>d</w:t>
      </w:r>
      <w:r w:rsidRPr="008B2E55">
        <w:rPr>
          <w:rFonts w:ascii="Times New Roman" w:hAnsi="Times New Roman"/>
          <w:sz w:val="24"/>
          <w:szCs w:val="24"/>
          <w:lang w:val="en-US"/>
        </w:rPr>
        <w:t>ebt sustainability attracts special attention during periods of sharp increase in uncertainty. The increase in federal transfers, which made it possible to significantly reduce the need of Russian regions for debt financing in 2020</w:t>
      </w:r>
      <w:r w:rsidR="00A35BD7">
        <w:rPr>
          <w:rFonts w:ascii="Times New Roman" w:hAnsi="Times New Roman"/>
          <w:sz w:val="24"/>
          <w:szCs w:val="24"/>
          <w:lang w:val="en-US"/>
        </w:rPr>
        <w:t xml:space="preserve">, </w:t>
      </w:r>
      <w:r w:rsidRPr="008B2E55">
        <w:rPr>
          <w:rFonts w:ascii="Times New Roman" w:hAnsi="Times New Roman"/>
          <w:sz w:val="24"/>
          <w:szCs w:val="24"/>
          <w:lang w:val="en-US"/>
        </w:rPr>
        <w:t>affect</w:t>
      </w:r>
      <w:r w:rsidR="00A35BD7">
        <w:rPr>
          <w:rFonts w:ascii="Times New Roman" w:hAnsi="Times New Roman"/>
          <w:sz w:val="24"/>
          <w:szCs w:val="24"/>
          <w:lang w:val="en-US"/>
        </w:rPr>
        <w:t>ed</w:t>
      </w:r>
      <w:r w:rsidRPr="008B2E55">
        <w:rPr>
          <w:rFonts w:ascii="Times New Roman" w:hAnsi="Times New Roman"/>
          <w:sz w:val="24"/>
          <w:szCs w:val="24"/>
          <w:lang w:val="en-US"/>
        </w:rPr>
        <w:t xml:space="preserve"> the fiscal incentives of the regional authorities. </w:t>
      </w:r>
      <w:r w:rsidR="00D62BCA" w:rsidRPr="00D62BCA">
        <w:rPr>
          <w:rFonts w:ascii="Times New Roman" w:hAnsi="Times New Roman"/>
          <w:sz w:val="24"/>
          <w:szCs w:val="24"/>
          <w:lang w:val="en-US"/>
        </w:rPr>
        <w:t>An indicator of vertical fiscal imbalance</w:t>
      </w:r>
      <w:r w:rsidR="00D62BCA">
        <w:rPr>
          <w:rFonts w:ascii="Times New Roman" w:hAnsi="Times New Roman"/>
          <w:sz w:val="24"/>
          <w:szCs w:val="24"/>
          <w:lang w:val="en-US"/>
        </w:rPr>
        <w:t xml:space="preserve"> (</w:t>
      </w:r>
      <w:r w:rsidR="00D62BCA">
        <w:rPr>
          <w:rFonts w:ascii="Times New Roman" w:hAnsi="Times New Roman"/>
          <w:sz w:val="24"/>
          <w:szCs w:val="24"/>
          <w:lang w:val="en-US"/>
        </w:rPr>
        <w:t>VFI</w:t>
      </w:r>
      <w:r w:rsidR="00D62BCA">
        <w:rPr>
          <w:rFonts w:ascii="Times New Roman" w:hAnsi="Times New Roman"/>
          <w:sz w:val="24"/>
          <w:szCs w:val="24"/>
          <w:lang w:val="en-US"/>
        </w:rPr>
        <w:t>)</w:t>
      </w:r>
      <w:r w:rsidR="00D62BCA" w:rsidRPr="00D62BCA">
        <w:rPr>
          <w:rFonts w:ascii="Times New Roman" w:hAnsi="Times New Roman"/>
          <w:sz w:val="24"/>
          <w:szCs w:val="24"/>
          <w:lang w:val="en-US"/>
        </w:rPr>
        <w:t xml:space="preserve"> can help assess the state of fiscal sustainability and the state of intergovernmental fiscal relations</w:t>
      </w:r>
      <w:r w:rsidR="000B37C4">
        <w:rPr>
          <w:rFonts w:ascii="Times New Roman" w:hAnsi="Times New Roman"/>
          <w:sz w:val="24"/>
          <w:szCs w:val="24"/>
          <w:lang w:val="en-US"/>
        </w:rPr>
        <w:t>.</w:t>
      </w:r>
      <w:r w:rsidR="000B37C4">
        <w:rPr>
          <w:rStyle w:val="ab"/>
          <w:rFonts w:ascii="Times New Roman" w:hAnsi="Times New Roman"/>
          <w:sz w:val="24"/>
          <w:szCs w:val="24"/>
        </w:rPr>
        <w:footnoteReference w:id="2"/>
      </w:r>
      <w:r w:rsidR="000B37C4">
        <w:rPr>
          <w:rFonts w:ascii="Times New Roman" w:hAnsi="Times New Roman"/>
          <w:sz w:val="24"/>
          <w:szCs w:val="24"/>
          <w:lang w:val="en-US"/>
        </w:rPr>
        <w:t xml:space="preserve"> </w:t>
      </w:r>
      <w:r w:rsidR="000B37C4" w:rsidRPr="000B37C4">
        <w:rPr>
          <w:rFonts w:ascii="Times New Roman" w:hAnsi="Times New Roman"/>
          <w:sz w:val="24"/>
          <w:szCs w:val="24"/>
          <w:lang w:val="en-US"/>
        </w:rPr>
        <w:t>The advantage of VFI is precisely that it allows one to obtain a quantitative characterization of the vertical distribution of powers, to come closer to understanding fiscal incentives and the institutional conditions that cause them.</w:t>
      </w:r>
    </w:p>
    <w:p w14:paraId="4017789A" w14:textId="52C0674D" w:rsidR="002D35DC" w:rsidRDefault="002D35DC" w:rsidP="00EA3F8A">
      <w:pPr>
        <w:spacing w:after="0" w:line="360" w:lineRule="auto"/>
        <w:ind w:firstLine="709"/>
        <w:jc w:val="both"/>
        <w:rPr>
          <w:rFonts w:ascii="Times New Roman" w:hAnsi="Times New Roman"/>
          <w:sz w:val="24"/>
          <w:szCs w:val="24"/>
          <w:lang w:val="en-US"/>
        </w:rPr>
      </w:pPr>
      <w:r w:rsidRPr="002D35DC">
        <w:rPr>
          <w:rFonts w:ascii="Times New Roman" w:hAnsi="Times New Roman"/>
          <w:sz w:val="24"/>
          <w:szCs w:val="24"/>
          <w:lang w:val="en-US"/>
        </w:rPr>
        <w:t xml:space="preserve">Debt sustainability assessment, quantified in the form of a credit rating, depends on the methodology for its assignment. Previously, we managed to determine that </w:t>
      </w:r>
      <w:r>
        <w:rPr>
          <w:rFonts w:ascii="Times New Roman" w:hAnsi="Times New Roman"/>
          <w:sz w:val="24"/>
          <w:szCs w:val="24"/>
          <w:lang w:val="en-US"/>
        </w:rPr>
        <w:t>national</w:t>
      </w:r>
      <w:r w:rsidRPr="002D35DC">
        <w:rPr>
          <w:rFonts w:ascii="Times New Roman" w:hAnsi="Times New Roman"/>
          <w:sz w:val="24"/>
          <w:szCs w:val="24"/>
          <w:lang w:val="en-US"/>
        </w:rPr>
        <w:t xml:space="preserve"> rating agencies (ACRA and </w:t>
      </w:r>
      <w:proofErr w:type="spellStart"/>
      <w:r w:rsidRPr="002D35DC">
        <w:rPr>
          <w:rFonts w:ascii="Times New Roman" w:hAnsi="Times New Roman"/>
          <w:sz w:val="24"/>
          <w:szCs w:val="24"/>
          <w:lang w:val="en-US"/>
        </w:rPr>
        <w:t>ExpertRA</w:t>
      </w:r>
      <w:proofErr w:type="spellEnd"/>
      <w:r w:rsidRPr="002D35DC">
        <w:rPr>
          <w:rFonts w:ascii="Times New Roman" w:hAnsi="Times New Roman"/>
          <w:sz w:val="24"/>
          <w:szCs w:val="24"/>
          <w:lang w:val="en-US"/>
        </w:rPr>
        <w:t>), when making a rating, are guided mainly by the values of quantitative budget indicators</w:t>
      </w:r>
      <w:r w:rsidR="00D167E3">
        <w:rPr>
          <w:rStyle w:val="ab"/>
          <w:rFonts w:ascii="Times New Roman" w:hAnsi="Times New Roman"/>
          <w:sz w:val="24"/>
          <w:szCs w:val="24"/>
          <w:lang w:val="en-US"/>
        </w:rPr>
        <w:footnoteReference w:id="3"/>
      </w:r>
      <w:r w:rsidRPr="002D35DC">
        <w:rPr>
          <w:rFonts w:ascii="Times New Roman" w:hAnsi="Times New Roman"/>
          <w:sz w:val="24"/>
          <w:szCs w:val="24"/>
          <w:lang w:val="en-US"/>
        </w:rPr>
        <w:t>, and the debt sustainability of the Russian region, quantitatively assessed by the credit rating, can be modeled using three indicators - indicators of tax and non-tax revenues, capital expenditures and debt</w:t>
      </w:r>
      <w:r>
        <w:rPr>
          <w:rStyle w:val="ab"/>
          <w:rFonts w:ascii="Times New Roman" w:hAnsi="Times New Roman"/>
          <w:sz w:val="24"/>
          <w:szCs w:val="24"/>
        </w:rPr>
        <w:footnoteReference w:id="4"/>
      </w:r>
      <w:r>
        <w:rPr>
          <w:rFonts w:ascii="Times New Roman" w:hAnsi="Times New Roman"/>
          <w:sz w:val="24"/>
          <w:szCs w:val="24"/>
          <w:lang w:val="en-US"/>
        </w:rPr>
        <w:t xml:space="preserve">. </w:t>
      </w:r>
    </w:p>
    <w:bookmarkEnd w:id="0"/>
    <w:p w14:paraId="53B6CAA3" w14:textId="6848ACEA" w:rsidR="002D35DC" w:rsidRPr="002D35DC" w:rsidRDefault="002D35DC" w:rsidP="002D35DC">
      <w:pPr>
        <w:spacing w:after="0" w:line="360" w:lineRule="auto"/>
        <w:ind w:firstLine="709"/>
        <w:jc w:val="both"/>
        <w:rPr>
          <w:rFonts w:ascii="Times New Roman" w:hAnsi="Times New Roman"/>
          <w:sz w:val="24"/>
          <w:szCs w:val="24"/>
          <w:lang w:val="en-US"/>
        </w:rPr>
      </w:pPr>
      <w:r w:rsidRPr="002D35DC">
        <w:rPr>
          <w:rFonts w:ascii="Times New Roman" w:hAnsi="Times New Roman"/>
          <w:sz w:val="24"/>
          <w:szCs w:val="24"/>
          <w:lang w:val="en-US"/>
        </w:rPr>
        <w:t>However, the relationship between debt sustainability and its factors with the vertical fiscal imbalance indicator remains a poorly understood area of</w:t>
      </w:r>
      <w:r>
        <w:rPr>
          <w:rFonts w:ascii="Times New Roman" w:hAnsi="Times New Roman"/>
          <w:sz w:val="24"/>
          <w:szCs w:val="24"/>
          <w:lang w:val="en-US"/>
        </w:rPr>
        <w:t xml:space="preserve"> </w:t>
      </w:r>
      <w:r w:rsidRPr="002D35DC">
        <w:rPr>
          <w:rFonts w:ascii="Times New Roman" w:hAnsi="Times New Roman"/>
          <w:sz w:val="24"/>
          <w:szCs w:val="24"/>
          <w:lang w:val="en-US"/>
        </w:rPr>
        <w:t>public finance. The purpose of this work is to clarify the role of vertical fiscal imbalance and its components in shaping the debt sustainability of regions.</w:t>
      </w:r>
    </w:p>
    <w:p w14:paraId="2688A8C2" w14:textId="253E5C67" w:rsidR="002D35DC" w:rsidRPr="002D35DC" w:rsidRDefault="00D62BCA" w:rsidP="002D35DC">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V</w:t>
      </w:r>
      <w:r w:rsidR="002D35DC" w:rsidRPr="002D35DC">
        <w:rPr>
          <w:rFonts w:ascii="Times New Roman" w:hAnsi="Times New Roman"/>
          <w:sz w:val="24"/>
          <w:szCs w:val="24"/>
          <w:lang w:val="en-US"/>
        </w:rPr>
        <w:t xml:space="preserve">ertical </w:t>
      </w:r>
      <w:r w:rsidR="009E41DB" w:rsidRPr="002D35DC">
        <w:rPr>
          <w:rFonts w:ascii="Times New Roman" w:hAnsi="Times New Roman"/>
          <w:sz w:val="24"/>
          <w:szCs w:val="24"/>
          <w:lang w:val="en-US"/>
        </w:rPr>
        <w:t xml:space="preserve">fiscal </w:t>
      </w:r>
      <w:r w:rsidR="002D35DC" w:rsidRPr="002D35DC">
        <w:rPr>
          <w:rFonts w:ascii="Times New Roman" w:hAnsi="Times New Roman"/>
          <w:sz w:val="24"/>
          <w:szCs w:val="24"/>
          <w:lang w:val="en-US"/>
        </w:rPr>
        <w:t>imbalance is higher in more subsidized regions of Russia. Methodologically, more stable results are provided by the analysis of vertical fiscal imbalance, "cleared" of incoming and outgoing subventions.</w:t>
      </w:r>
    </w:p>
    <w:p w14:paraId="1630ECE6" w14:textId="032170A1" w:rsidR="002D35DC" w:rsidRPr="002D35DC" w:rsidRDefault="002D35DC" w:rsidP="002D35DC">
      <w:pPr>
        <w:spacing w:after="0" w:line="360" w:lineRule="auto"/>
        <w:ind w:firstLine="709"/>
        <w:jc w:val="both"/>
        <w:rPr>
          <w:rFonts w:ascii="Times New Roman" w:hAnsi="Times New Roman"/>
          <w:sz w:val="24"/>
          <w:szCs w:val="24"/>
          <w:lang w:val="en-US"/>
        </w:rPr>
      </w:pPr>
      <w:r w:rsidRPr="002D35DC">
        <w:rPr>
          <w:rFonts w:ascii="Times New Roman" w:hAnsi="Times New Roman"/>
          <w:sz w:val="24"/>
          <w:szCs w:val="24"/>
          <w:lang w:val="en-US"/>
        </w:rPr>
        <w:lastRenderedPageBreak/>
        <w:t>The average values</w:t>
      </w:r>
      <w:r>
        <w:rPr>
          <w:rFonts w:ascii="Times New Roman" w:hAnsi="Times New Roman"/>
          <w:sz w:val="24"/>
          <w:szCs w:val="24"/>
          <w:lang w:val="en-US"/>
        </w:rPr>
        <w:t xml:space="preserve"> </w:t>
      </w:r>
      <w:r w:rsidRPr="002D35DC">
        <w:rPr>
          <w:rFonts w:ascii="Times New Roman" w:hAnsi="Times New Roman"/>
          <w:sz w:val="24"/>
          <w:szCs w:val="24"/>
          <w:lang w:val="en-US"/>
        </w:rPr>
        <w:t xml:space="preserve">of regional vertical </w:t>
      </w:r>
      <w:r w:rsidR="009E41DB" w:rsidRPr="002D35DC">
        <w:rPr>
          <w:rFonts w:ascii="Times New Roman" w:hAnsi="Times New Roman"/>
          <w:sz w:val="24"/>
          <w:szCs w:val="24"/>
          <w:lang w:val="en-US"/>
        </w:rPr>
        <w:t xml:space="preserve">fiscal </w:t>
      </w:r>
      <w:r w:rsidRPr="002D35DC">
        <w:rPr>
          <w:rFonts w:ascii="Times New Roman" w:hAnsi="Times New Roman"/>
          <w:sz w:val="24"/>
          <w:szCs w:val="24"/>
          <w:lang w:val="en-US"/>
        </w:rPr>
        <w:t>imbalance in the world are highly differentiated, however, VFI is inversely related to the level of income in the economy of the region (Figure 1). In Russia and Canada, this pattern is most pronounced.</w:t>
      </w:r>
    </w:p>
    <w:p w14:paraId="05095D80" w14:textId="77777777" w:rsidR="00777766" w:rsidRPr="002D35DC" w:rsidRDefault="00777766" w:rsidP="00777766">
      <w:pPr>
        <w:spacing w:after="0" w:line="360" w:lineRule="auto"/>
        <w:ind w:firstLine="709"/>
        <w:jc w:val="both"/>
        <w:rPr>
          <w:rFonts w:ascii="Times New Roman" w:hAnsi="Times New Roman"/>
          <w:sz w:val="24"/>
          <w:szCs w:val="24"/>
          <w:lang w:val="en-US"/>
        </w:rPr>
      </w:pPr>
    </w:p>
    <w:p w14:paraId="53549911" w14:textId="29C29AF3" w:rsidR="00777766" w:rsidRPr="00252EE4" w:rsidRDefault="00777766" w:rsidP="00777766">
      <w:pPr>
        <w:spacing w:after="0" w:line="360" w:lineRule="auto"/>
        <w:jc w:val="center"/>
        <w:rPr>
          <w:rFonts w:ascii="Times New Roman" w:hAnsi="Times New Roman"/>
          <w:sz w:val="24"/>
          <w:szCs w:val="24"/>
          <w:lang w:val="en-US"/>
        </w:rPr>
      </w:pPr>
    </w:p>
    <w:p w14:paraId="4452814B" w14:textId="34EB0CBB" w:rsidR="00777766" w:rsidRPr="00B35DF1" w:rsidRDefault="00905495" w:rsidP="00777766">
      <w:pPr>
        <w:spacing w:after="0" w:line="360" w:lineRule="auto"/>
        <w:ind w:firstLine="567"/>
        <w:contextualSpacing/>
        <w:jc w:val="both"/>
        <w:rPr>
          <w:rFonts w:ascii="Times New Roman" w:hAnsi="Times New Roman"/>
          <w:sz w:val="20"/>
          <w:szCs w:val="20"/>
          <w:lang w:val="en-US"/>
        </w:rPr>
      </w:pPr>
      <w:r>
        <w:rPr>
          <w:noProof/>
        </w:rPr>
        <w:drawing>
          <wp:inline distT="0" distB="0" distL="0" distR="0" wp14:anchorId="38542033" wp14:editId="4E0916D6">
            <wp:extent cx="5268843" cy="3245224"/>
            <wp:effectExtent l="0" t="0" r="190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1515" cy="3253029"/>
                    </a:xfrm>
                    <a:prstGeom prst="rect">
                      <a:avLst/>
                    </a:prstGeom>
                    <a:noFill/>
                    <a:ln>
                      <a:noFill/>
                    </a:ln>
                  </pic:spPr>
                </pic:pic>
              </a:graphicData>
            </a:graphic>
          </wp:inline>
        </w:drawing>
      </w:r>
      <w:r w:rsidR="00B35DF1" w:rsidRPr="00B35DF1">
        <w:rPr>
          <w:rFonts w:ascii="Times New Roman" w:hAnsi="Times New Roman"/>
          <w:sz w:val="20"/>
          <w:szCs w:val="20"/>
          <w:lang w:val="en-US"/>
        </w:rPr>
        <w:t>Note: Compiled using average data for 2011–2018 (Australia for 2018–2020).</w:t>
      </w:r>
    </w:p>
    <w:p w14:paraId="2C37022C" w14:textId="77777777" w:rsidR="00777766" w:rsidRPr="00B35DF1" w:rsidRDefault="00777766" w:rsidP="00777766">
      <w:pPr>
        <w:spacing w:after="0" w:line="360" w:lineRule="auto"/>
        <w:ind w:firstLine="567"/>
        <w:contextualSpacing/>
        <w:jc w:val="both"/>
        <w:rPr>
          <w:rFonts w:ascii="Times New Roman" w:hAnsi="Times New Roman"/>
          <w:sz w:val="20"/>
          <w:szCs w:val="20"/>
          <w:lang w:val="en-US"/>
        </w:rPr>
      </w:pPr>
    </w:p>
    <w:p w14:paraId="555B295A" w14:textId="5191884E" w:rsidR="00777766" w:rsidRPr="00B35DF1" w:rsidRDefault="00B35DF1" w:rsidP="00777766">
      <w:pPr>
        <w:keepNext/>
        <w:spacing w:after="0" w:line="360" w:lineRule="auto"/>
        <w:jc w:val="center"/>
        <w:outlineLvl w:val="0"/>
        <w:rPr>
          <w:rFonts w:ascii="Times New Roman" w:eastAsia="Times New Roman" w:hAnsi="Times New Roman"/>
          <w:bCs/>
          <w:kern w:val="32"/>
          <w:sz w:val="24"/>
          <w:szCs w:val="24"/>
          <w:lang w:val="en-US"/>
        </w:rPr>
      </w:pPr>
      <w:r>
        <w:rPr>
          <w:rFonts w:ascii="Times New Roman" w:eastAsia="Times New Roman" w:hAnsi="Times New Roman"/>
          <w:bCs/>
          <w:kern w:val="32"/>
          <w:sz w:val="24"/>
          <w:szCs w:val="24"/>
          <w:lang w:val="en-US"/>
        </w:rPr>
        <w:t>Picture</w:t>
      </w:r>
      <w:r w:rsidR="00777766" w:rsidRPr="00B35DF1">
        <w:rPr>
          <w:rFonts w:ascii="Times New Roman" w:eastAsia="Times New Roman" w:hAnsi="Times New Roman"/>
          <w:bCs/>
          <w:kern w:val="32"/>
          <w:sz w:val="24"/>
          <w:szCs w:val="24"/>
          <w:lang w:val="en-US"/>
        </w:rPr>
        <w:t xml:space="preserve"> </w:t>
      </w:r>
      <w:r w:rsidR="00FE2D2B" w:rsidRPr="00B35DF1">
        <w:rPr>
          <w:rFonts w:ascii="Times New Roman" w:eastAsia="Times New Roman" w:hAnsi="Times New Roman"/>
          <w:bCs/>
          <w:kern w:val="32"/>
          <w:sz w:val="24"/>
          <w:szCs w:val="24"/>
          <w:lang w:val="en-US"/>
        </w:rPr>
        <w:t xml:space="preserve">1 </w:t>
      </w:r>
      <w:r w:rsidR="00777766" w:rsidRPr="00B35DF1">
        <w:rPr>
          <w:rFonts w:ascii="Times New Roman" w:eastAsia="Times New Roman" w:hAnsi="Times New Roman"/>
          <w:bCs/>
          <w:kern w:val="32"/>
          <w:sz w:val="24"/>
          <w:szCs w:val="24"/>
          <w:lang w:val="en-US"/>
        </w:rPr>
        <w:t>–</w:t>
      </w:r>
      <w:r w:rsidRPr="00B35DF1">
        <w:rPr>
          <w:rFonts w:ascii="Times New Roman" w:eastAsia="Times New Roman" w:hAnsi="Times New Roman"/>
          <w:bCs/>
          <w:kern w:val="32"/>
          <w:sz w:val="24"/>
          <w:szCs w:val="24"/>
          <w:lang w:val="en-US"/>
        </w:rPr>
        <w:t>Vertical fiscal imbalance of budgets and the level of income in the regions of the federal states of the world</w:t>
      </w:r>
    </w:p>
    <w:p w14:paraId="254E3398" w14:textId="77777777" w:rsidR="00777766" w:rsidRPr="00B35DF1" w:rsidRDefault="00777766" w:rsidP="00777766">
      <w:pPr>
        <w:spacing w:after="0" w:line="360" w:lineRule="auto"/>
        <w:ind w:firstLine="709"/>
        <w:jc w:val="both"/>
        <w:rPr>
          <w:rFonts w:ascii="Times New Roman" w:hAnsi="Times New Roman"/>
          <w:sz w:val="24"/>
          <w:szCs w:val="24"/>
          <w:lang w:val="en-US"/>
        </w:rPr>
      </w:pPr>
    </w:p>
    <w:p w14:paraId="34AFB0CD" w14:textId="2E07F814" w:rsidR="00D167E3" w:rsidRPr="00D167E3" w:rsidRDefault="00D167E3" w:rsidP="00D167E3">
      <w:pPr>
        <w:spacing w:after="0" w:line="360" w:lineRule="auto"/>
        <w:ind w:firstLine="709"/>
        <w:jc w:val="both"/>
        <w:rPr>
          <w:rFonts w:ascii="Times New Roman" w:hAnsi="Times New Roman"/>
          <w:sz w:val="24"/>
          <w:szCs w:val="24"/>
          <w:lang w:val="en-US"/>
        </w:rPr>
      </w:pPr>
      <w:r w:rsidRPr="00D167E3">
        <w:rPr>
          <w:rFonts w:ascii="Times New Roman" w:hAnsi="Times New Roman"/>
          <w:sz w:val="24"/>
          <w:szCs w:val="24"/>
          <w:lang w:val="en-US"/>
        </w:rPr>
        <w:t>When modeling the level of debt sustainability of a region in the form of a credit rating, calculations for Russian regions indicate the legitimacy of replacing the indicator of tax and non-tax budget revenues with an indicator of vertical</w:t>
      </w:r>
      <w:r w:rsidR="009E41DB">
        <w:rPr>
          <w:rFonts w:ascii="Times New Roman" w:hAnsi="Times New Roman"/>
          <w:sz w:val="24"/>
          <w:szCs w:val="24"/>
          <w:lang w:val="en-US"/>
        </w:rPr>
        <w:t xml:space="preserve"> </w:t>
      </w:r>
      <w:r w:rsidR="009E41DB" w:rsidRPr="002D35DC">
        <w:rPr>
          <w:rFonts w:ascii="Times New Roman" w:hAnsi="Times New Roman"/>
          <w:sz w:val="24"/>
          <w:szCs w:val="24"/>
          <w:lang w:val="en-US"/>
        </w:rPr>
        <w:t>fiscal</w:t>
      </w:r>
      <w:r w:rsidRPr="00D167E3">
        <w:rPr>
          <w:rFonts w:ascii="Times New Roman" w:hAnsi="Times New Roman"/>
          <w:sz w:val="24"/>
          <w:szCs w:val="24"/>
          <w:lang w:val="en-US"/>
        </w:rPr>
        <w:t xml:space="preserve"> imbalance (the latter is adjusted for subventions). At the same time, the ratings of the </w:t>
      </w:r>
      <w:r w:rsidR="00470638" w:rsidRPr="00470638">
        <w:rPr>
          <w:rFonts w:ascii="Times New Roman" w:hAnsi="Times New Roman"/>
          <w:sz w:val="24"/>
          <w:szCs w:val="24"/>
          <w:lang w:val="en-US"/>
        </w:rPr>
        <w:t>U.S. States</w:t>
      </w:r>
      <w:r w:rsidR="00470638" w:rsidRPr="00D167E3">
        <w:rPr>
          <w:rFonts w:ascii="Times New Roman" w:hAnsi="Times New Roman"/>
          <w:sz w:val="24"/>
          <w:szCs w:val="24"/>
          <w:lang w:val="en-US"/>
        </w:rPr>
        <w:t xml:space="preserve"> </w:t>
      </w:r>
      <w:r w:rsidRPr="00D167E3">
        <w:rPr>
          <w:rFonts w:ascii="Times New Roman" w:hAnsi="Times New Roman"/>
          <w:sz w:val="24"/>
          <w:szCs w:val="24"/>
          <w:lang w:val="en-US"/>
        </w:rPr>
        <w:t>from the S&amp;P are much more difficult to model in this way, which indicates the limited vertical</w:t>
      </w:r>
      <w:r>
        <w:rPr>
          <w:rFonts w:ascii="Times New Roman" w:hAnsi="Times New Roman"/>
          <w:sz w:val="24"/>
          <w:szCs w:val="24"/>
          <w:lang w:val="en-US"/>
        </w:rPr>
        <w:t xml:space="preserve"> fiscal</w:t>
      </w:r>
      <w:r w:rsidRPr="00D167E3">
        <w:rPr>
          <w:rFonts w:ascii="Times New Roman" w:hAnsi="Times New Roman"/>
          <w:sz w:val="24"/>
          <w:szCs w:val="24"/>
          <w:lang w:val="en-US"/>
        </w:rPr>
        <w:t xml:space="preserve"> imbalance in this interpretation of debt </w:t>
      </w:r>
      <w:r w:rsidR="00470638" w:rsidRPr="00D167E3">
        <w:rPr>
          <w:rFonts w:ascii="Times New Roman" w:hAnsi="Times New Roman"/>
          <w:sz w:val="24"/>
          <w:szCs w:val="24"/>
          <w:lang w:val="en-US"/>
        </w:rPr>
        <w:t>sustainability and</w:t>
      </w:r>
      <w:r w:rsidRPr="00D167E3">
        <w:rPr>
          <w:rFonts w:ascii="Times New Roman" w:hAnsi="Times New Roman"/>
          <w:sz w:val="24"/>
          <w:szCs w:val="24"/>
          <w:lang w:val="en-US"/>
        </w:rPr>
        <w:t xml:space="preserve"> confirms the differences in rating approaches on the part of various agencies.</w:t>
      </w:r>
    </w:p>
    <w:p w14:paraId="531E7C8B" w14:textId="70E03707" w:rsidR="00D167E3" w:rsidRPr="00D167E3" w:rsidRDefault="00D167E3" w:rsidP="00D167E3">
      <w:pPr>
        <w:spacing w:after="0" w:line="360" w:lineRule="auto"/>
        <w:ind w:firstLine="709"/>
        <w:jc w:val="both"/>
        <w:rPr>
          <w:rFonts w:ascii="Times New Roman" w:hAnsi="Times New Roman"/>
          <w:sz w:val="24"/>
          <w:szCs w:val="24"/>
          <w:lang w:val="en-US"/>
        </w:rPr>
      </w:pPr>
      <w:r w:rsidRPr="00D167E3">
        <w:rPr>
          <w:rFonts w:ascii="Times New Roman" w:hAnsi="Times New Roman"/>
          <w:sz w:val="24"/>
          <w:szCs w:val="24"/>
          <w:lang w:val="en-US"/>
        </w:rPr>
        <w:t xml:space="preserve">According to our calculations, the vertical </w:t>
      </w:r>
      <w:r w:rsidR="009E41DB" w:rsidRPr="002D35DC">
        <w:rPr>
          <w:rFonts w:ascii="Times New Roman" w:hAnsi="Times New Roman"/>
          <w:sz w:val="24"/>
          <w:szCs w:val="24"/>
          <w:lang w:val="en-US"/>
        </w:rPr>
        <w:t>fiscal</w:t>
      </w:r>
      <w:r w:rsidR="009E41DB" w:rsidRPr="00D167E3">
        <w:rPr>
          <w:rFonts w:ascii="Times New Roman" w:hAnsi="Times New Roman"/>
          <w:sz w:val="24"/>
          <w:szCs w:val="24"/>
          <w:lang w:val="en-US"/>
        </w:rPr>
        <w:t xml:space="preserve"> </w:t>
      </w:r>
      <w:r w:rsidRPr="00D167E3">
        <w:rPr>
          <w:rFonts w:ascii="Times New Roman" w:hAnsi="Times New Roman"/>
          <w:sz w:val="24"/>
          <w:szCs w:val="24"/>
          <w:lang w:val="en-US"/>
        </w:rPr>
        <w:t xml:space="preserve">imbalance of Russian regions increases as the rating and debt sustainability deteriorate. At the same time, the main driver of high vertical </w:t>
      </w:r>
      <w:r w:rsidR="009E41DB" w:rsidRPr="002D35DC">
        <w:rPr>
          <w:rFonts w:ascii="Times New Roman" w:hAnsi="Times New Roman"/>
          <w:sz w:val="24"/>
          <w:szCs w:val="24"/>
          <w:lang w:val="en-US"/>
        </w:rPr>
        <w:t>fiscal</w:t>
      </w:r>
      <w:r w:rsidR="009E41DB" w:rsidRPr="00D167E3">
        <w:rPr>
          <w:rFonts w:ascii="Times New Roman" w:hAnsi="Times New Roman"/>
          <w:sz w:val="24"/>
          <w:szCs w:val="24"/>
          <w:lang w:val="en-US"/>
        </w:rPr>
        <w:t xml:space="preserve"> </w:t>
      </w:r>
      <w:r w:rsidRPr="00D167E3">
        <w:rPr>
          <w:rFonts w:ascii="Times New Roman" w:hAnsi="Times New Roman"/>
          <w:sz w:val="24"/>
          <w:szCs w:val="24"/>
          <w:lang w:val="en-US"/>
        </w:rPr>
        <w:t>imbalance is</w:t>
      </w:r>
      <w:r w:rsidR="00D62BCA">
        <w:rPr>
          <w:rFonts w:ascii="Times New Roman" w:hAnsi="Times New Roman"/>
          <w:sz w:val="24"/>
          <w:szCs w:val="24"/>
          <w:lang w:val="en-US"/>
        </w:rPr>
        <w:t xml:space="preserve"> </w:t>
      </w:r>
      <w:r w:rsidRPr="00D167E3">
        <w:rPr>
          <w:rFonts w:ascii="Times New Roman" w:hAnsi="Times New Roman"/>
          <w:sz w:val="24"/>
          <w:szCs w:val="24"/>
          <w:lang w:val="en-US"/>
        </w:rPr>
        <w:t>not the budget deficit, but the balance of incoming and outgoing inter</w:t>
      </w:r>
      <w:r w:rsidR="00470638">
        <w:rPr>
          <w:rFonts w:ascii="Times New Roman" w:hAnsi="Times New Roman"/>
          <w:sz w:val="24"/>
          <w:szCs w:val="24"/>
          <w:lang w:val="en-US"/>
        </w:rPr>
        <w:t>governmental fiscal</w:t>
      </w:r>
      <w:r w:rsidRPr="00D167E3">
        <w:rPr>
          <w:rFonts w:ascii="Times New Roman" w:hAnsi="Times New Roman"/>
          <w:sz w:val="24"/>
          <w:szCs w:val="24"/>
          <w:lang w:val="en-US"/>
        </w:rPr>
        <w:t xml:space="preserve"> transfers.</w:t>
      </w:r>
    </w:p>
    <w:p w14:paraId="539CB2B1" w14:textId="792873DA" w:rsidR="00D167E3" w:rsidRPr="00D167E3" w:rsidRDefault="00D167E3" w:rsidP="00D167E3">
      <w:pPr>
        <w:spacing w:after="0" w:line="360" w:lineRule="auto"/>
        <w:ind w:firstLine="709"/>
        <w:jc w:val="both"/>
        <w:rPr>
          <w:rFonts w:ascii="Times New Roman" w:hAnsi="Times New Roman"/>
          <w:sz w:val="24"/>
          <w:szCs w:val="24"/>
          <w:lang w:val="en-US"/>
        </w:rPr>
      </w:pPr>
      <w:r w:rsidRPr="00D167E3">
        <w:rPr>
          <w:rFonts w:ascii="Times New Roman" w:hAnsi="Times New Roman"/>
          <w:sz w:val="24"/>
          <w:szCs w:val="24"/>
          <w:lang w:val="en-US"/>
        </w:rPr>
        <w:lastRenderedPageBreak/>
        <w:t xml:space="preserve">In 2020, the balance of incoming and outgoing </w:t>
      </w:r>
      <w:r w:rsidR="00470638" w:rsidRPr="00D167E3">
        <w:rPr>
          <w:rFonts w:ascii="Times New Roman" w:hAnsi="Times New Roman"/>
          <w:sz w:val="24"/>
          <w:szCs w:val="24"/>
          <w:lang w:val="en-US"/>
        </w:rPr>
        <w:t>inter</w:t>
      </w:r>
      <w:r w:rsidR="00470638">
        <w:rPr>
          <w:rFonts w:ascii="Times New Roman" w:hAnsi="Times New Roman"/>
          <w:sz w:val="24"/>
          <w:szCs w:val="24"/>
          <w:lang w:val="en-US"/>
        </w:rPr>
        <w:t>governmental fiscal</w:t>
      </w:r>
      <w:r w:rsidRPr="00D167E3">
        <w:rPr>
          <w:rFonts w:ascii="Times New Roman" w:hAnsi="Times New Roman"/>
          <w:sz w:val="24"/>
          <w:szCs w:val="24"/>
          <w:lang w:val="en-US"/>
        </w:rPr>
        <w:t xml:space="preserve"> transfers of regions shifted in favor of the former, and this happened equally in the budget systems of all regions, regardless of the group (Figure 2). In regions rated A and AA, the events of 2020 and an unprecedented increase in federal transfers influenced the fact that the volume of incoming transfers exceeded the volume of outgoing ones.</w:t>
      </w:r>
    </w:p>
    <w:p w14:paraId="7E840B7C" w14:textId="642D60A7" w:rsidR="00D167E3" w:rsidRPr="00D167E3" w:rsidRDefault="00D167E3" w:rsidP="00D167E3">
      <w:pPr>
        <w:spacing w:after="0" w:line="360" w:lineRule="auto"/>
        <w:ind w:firstLine="709"/>
        <w:jc w:val="both"/>
        <w:rPr>
          <w:rFonts w:ascii="Times New Roman" w:hAnsi="Times New Roman"/>
          <w:sz w:val="24"/>
          <w:szCs w:val="24"/>
          <w:lang w:val="en-US"/>
        </w:rPr>
      </w:pPr>
      <w:r w:rsidRPr="00D167E3">
        <w:rPr>
          <w:rFonts w:ascii="Times New Roman" w:hAnsi="Times New Roman"/>
          <w:sz w:val="24"/>
          <w:szCs w:val="24"/>
          <w:lang w:val="en-US"/>
        </w:rPr>
        <w:t xml:space="preserve">The excess of federal </w:t>
      </w:r>
      <w:r w:rsidR="00470638" w:rsidRPr="00D167E3">
        <w:rPr>
          <w:rFonts w:ascii="Times New Roman" w:hAnsi="Times New Roman"/>
          <w:sz w:val="24"/>
          <w:szCs w:val="24"/>
          <w:lang w:val="en-US"/>
        </w:rPr>
        <w:t>inter</w:t>
      </w:r>
      <w:r w:rsidR="00470638">
        <w:rPr>
          <w:rFonts w:ascii="Times New Roman" w:hAnsi="Times New Roman"/>
          <w:sz w:val="24"/>
          <w:szCs w:val="24"/>
          <w:lang w:val="en-US"/>
        </w:rPr>
        <w:t>governmental fiscal</w:t>
      </w:r>
      <w:r w:rsidR="00470638" w:rsidRPr="00D167E3">
        <w:rPr>
          <w:rFonts w:ascii="Times New Roman" w:hAnsi="Times New Roman"/>
          <w:sz w:val="24"/>
          <w:szCs w:val="24"/>
          <w:lang w:val="en-US"/>
        </w:rPr>
        <w:t xml:space="preserve"> </w:t>
      </w:r>
      <w:r w:rsidRPr="00D167E3">
        <w:rPr>
          <w:rFonts w:ascii="Times New Roman" w:hAnsi="Times New Roman"/>
          <w:sz w:val="24"/>
          <w:szCs w:val="24"/>
          <w:lang w:val="en-US"/>
        </w:rPr>
        <w:t xml:space="preserve">transfers over regional ones in 2020 was ensured through subsidies. However, unlike federal subsidies, the growth of regional subsidies was almost imperceptible. In regions with a credit rating of A, AA, and AAA, the size of regional equalization subsidies is usually higher or approximately equal to the amount of federal subsidies received, while less stable constituent entities of the Russian Federation receive a significantly larger amount of equalization </w:t>
      </w:r>
      <w:r w:rsidR="00470638">
        <w:rPr>
          <w:rFonts w:ascii="Times New Roman" w:hAnsi="Times New Roman"/>
          <w:sz w:val="24"/>
          <w:szCs w:val="24"/>
          <w:lang w:val="en-US"/>
        </w:rPr>
        <w:t>grants</w:t>
      </w:r>
      <w:r w:rsidRPr="00D167E3">
        <w:rPr>
          <w:rFonts w:ascii="Times New Roman" w:hAnsi="Times New Roman"/>
          <w:sz w:val="24"/>
          <w:szCs w:val="24"/>
          <w:lang w:val="en-US"/>
        </w:rPr>
        <w:t xml:space="preserve"> from the federal budget, in comparison with that which is distributed among local budgets. Unlike subsidies for equalization, the regions use </w:t>
      </w:r>
      <w:r w:rsidR="00470638">
        <w:rPr>
          <w:rFonts w:ascii="Times New Roman" w:hAnsi="Times New Roman"/>
          <w:sz w:val="24"/>
          <w:szCs w:val="24"/>
          <w:lang w:val="en-US"/>
        </w:rPr>
        <w:t>grants</w:t>
      </w:r>
      <w:r w:rsidRPr="00D167E3">
        <w:rPr>
          <w:rFonts w:ascii="Times New Roman" w:hAnsi="Times New Roman"/>
          <w:sz w:val="24"/>
          <w:szCs w:val="24"/>
          <w:lang w:val="en-US"/>
        </w:rPr>
        <w:t xml:space="preserve"> for balancing relatively reluctantly - compared to federal subsidies, the amount of </w:t>
      </w:r>
      <w:r w:rsidR="00470638">
        <w:rPr>
          <w:rFonts w:ascii="Times New Roman" w:hAnsi="Times New Roman"/>
          <w:sz w:val="24"/>
          <w:szCs w:val="24"/>
          <w:lang w:val="en-US"/>
        </w:rPr>
        <w:t>grants</w:t>
      </w:r>
      <w:r w:rsidRPr="00D167E3">
        <w:rPr>
          <w:rFonts w:ascii="Times New Roman" w:hAnsi="Times New Roman"/>
          <w:sz w:val="24"/>
          <w:szCs w:val="24"/>
          <w:lang w:val="en-US"/>
        </w:rPr>
        <w:t xml:space="preserve"> for balancing from the budgets of the constituent entities of the Russian Federation is noticeably smaller.</w:t>
      </w:r>
    </w:p>
    <w:p w14:paraId="24B15DDD" w14:textId="77777777" w:rsidR="00FF5414" w:rsidRPr="00D167E3" w:rsidRDefault="00FF5414" w:rsidP="00EA3F8A">
      <w:pPr>
        <w:spacing w:after="0" w:line="360" w:lineRule="auto"/>
        <w:ind w:firstLine="709"/>
        <w:jc w:val="both"/>
        <w:rPr>
          <w:rFonts w:ascii="Times New Roman" w:hAnsi="Times New Roman"/>
          <w:sz w:val="24"/>
          <w:szCs w:val="24"/>
          <w:lang w:val="en-US"/>
        </w:rPr>
      </w:pPr>
    </w:p>
    <w:p w14:paraId="581D5E6E" w14:textId="434AB824" w:rsidR="006D71D6" w:rsidRDefault="006433CE" w:rsidP="00EA3F8A">
      <w:pPr>
        <w:spacing w:after="0" w:line="36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0CB59BD5" wp14:editId="2E28053C">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BC8EC1" w14:textId="4EF400AC" w:rsidR="006D71D6" w:rsidRPr="00210677" w:rsidRDefault="00210677" w:rsidP="00EA3F8A">
      <w:pPr>
        <w:spacing w:after="0" w:line="360" w:lineRule="auto"/>
        <w:ind w:firstLine="567"/>
        <w:contextualSpacing/>
        <w:jc w:val="both"/>
        <w:rPr>
          <w:rFonts w:ascii="Times New Roman" w:hAnsi="Times New Roman"/>
          <w:sz w:val="20"/>
          <w:szCs w:val="20"/>
          <w:lang w:val="en-US"/>
        </w:rPr>
      </w:pPr>
      <w:r w:rsidRPr="00210677">
        <w:rPr>
          <w:rFonts w:ascii="Times New Roman" w:hAnsi="Times New Roman"/>
          <w:sz w:val="20"/>
          <w:szCs w:val="20"/>
          <w:lang w:val="en-US"/>
        </w:rPr>
        <w:t>Source: authors' calculations based on data from the Russian Treasur</w:t>
      </w:r>
      <w:r>
        <w:rPr>
          <w:rFonts w:ascii="Times New Roman" w:hAnsi="Times New Roman"/>
          <w:sz w:val="20"/>
          <w:szCs w:val="20"/>
          <w:lang w:val="en-US"/>
        </w:rPr>
        <w:t>y</w:t>
      </w:r>
      <w:r w:rsidRPr="00210677">
        <w:rPr>
          <w:rFonts w:ascii="Times New Roman" w:hAnsi="Times New Roman"/>
          <w:sz w:val="20"/>
          <w:szCs w:val="20"/>
          <w:lang w:val="en-US"/>
        </w:rPr>
        <w:t>.</w:t>
      </w:r>
    </w:p>
    <w:p w14:paraId="51BD786D" w14:textId="4AB9C09A" w:rsidR="006D71D6" w:rsidRPr="00210677" w:rsidRDefault="00210677" w:rsidP="00EA3F8A">
      <w:pPr>
        <w:spacing w:after="0" w:line="360" w:lineRule="auto"/>
        <w:ind w:firstLine="567"/>
        <w:contextualSpacing/>
        <w:jc w:val="both"/>
        <w:rPr>
          <w:rFonts w:ascii="Times New Roman" w:hAnsi="Times New Roman"/>
          <w:sz w:val="20"/>
          <w:szCs w:val="20"/>
          <w:lang w:val="en-US"/>
        </w:rPr>
      </w:pPr>
      <w:r w:rsidRPr="00210677">
        <w:rPr>
          <w:rFonts w:ascii="Times New Roman" w:hAnsi="Times New Roman"/>
          <w:sz w:val="20"/>
          <w:szCs w:val="20"/>
          <w:lang w:val="en-US"/>
        </w:rPr>
        <w:t xml:space="preserve">Note: Credit rating data from ACRA: May - October 2021. Adjusted to 2017 prices, </w:t>
      </w:r>
      <w:proofErr w:type="gramStart"/>
      <w:r w:rsidRPr="00210677">
        <w:rPr>
          <w:rFonts w:ascii="Times New Roman" w:hAnsi="Times New Roman"/>
          <w:sz w:val="20"/>
          <w:szCs w:val="20"/>
          <w:lang w:val="en-US"/>
        </w:rPr>
        <w:t>taking into account</w:t>
      </w:r>
      <w:proofErr w:type="gramEnd"/>
      <w:r w:rsidRPr="00210677">
        <w:rPr>
          <w:rFonts w:ascii="Times New Roman" w:hAnsi="Times New Roman"/>
          <w:sz w:val="20"/>
          <w:szCs w:val="20"/>
          <w:lang w:val="en-US"/>
        </w:rPr>
        <w:t xml:space="preserve"> the budget expenditures index</w:t>
      </w:r>
      <w:r>
        <w:rPr>
          <w:rFonts w:ascii="Times New Roman" w:hAnsi="Times New Roman"/>
          <w:sz w:val="20"/>
          <w:szCs w:val="20"/>
          <w:lang w:val="en-US"/>
        </w:rPr>
        <w:t>.</w:t>
      </w:r>
    </w:p>
    <w:p w14:paraId="6CC1C03E" w14:textId="77777777" w:rsidR="006D71D6" w:rsidRPr="00210677" w:rsidRDefault="006D71D6" w:rsidP="00EA3F8A">
      <w:pPr>
        <w:spacing w:after="0" w:line="360" w:lineRule="auto"/>
        <w:ind w:firstLine="567"/>
        <w:contextualSpacing/>
        <w:jc w:val="both"/>
        <w:rPr>
          <w:rFonts w:ascii="Times New Roman" w:hAnsi="Times New Roman"/>
          <w:sz w:val="20"/>
          <w:szCs w:val="20"/>
          <w:lang w:val="en-US"/>
        </w:rPr>
      </w:pPr>
    </w:p>
    <w:p w14:paraId="5FF8F1C6" w14:textId="63F262FB" w:rsidR="006D71D6" w:rsidRPr="00B35DF1" w:rsidRDefault="00B35DF1" w:rsidP="00EA3F8A">
      <w:pPr>
        <w:keepNext/>
        <w:spacing w:after="0" w:line="360" w:lineRule="auto"/>
        <w:jc w:val="center"/>
        <w:outlineLvl w:val="0"/>
        <w:rPr>
          <w:rFonts w:ascii="Times New Roman" w:eastAsia="Times New Roman" w:hAnsi="Times New Roman"/>
          <w:bCs/>
          <w:kern w:val="32"/>
          <w:sz w:val="24"/>
          <w:szCs w:val="24"/>
          <w:lang w:val="en-US"/>
        </w:rPr>
      </w:pPr>
      <w:proofErr w:type="gramStart"/>
      <w:r>
        <w:rPr>
          <w:rFonts w:ascii="Times New Roman" w:eastAsia="Times New Roman" w:hAnsi="Times New Roman"/>
          <w:bCs/>
          <w:kern w:val="32"/>
          <w:sz w:val="24"/>
          <w:szCs w:val="24"/>
          <w:lang w:val="en-US"/>
        </w:rPr>
        <w:t>Picture</w:t>
      </w:r>
      <w:r w:rsidRPr="00B35DF1">
        <w:rPr>
          <w:rFonts w:ascii="Times New Roman" w:eastAsia="Times New Roman" w:hAnsi="Times New Roman"/>
          <w:bCs/>
          <w:kern w:val="32"/>
          <w:sz w:val="24"/>
          <w:szCs w:val="24"/>
          <w:lang w:val="en-US"/>
        </w:rPr>
        <w:t xml:space="preserve"> </w:t>
      </w:r>
      <w:r w:rsidR="006D71D6" w:rsidRPr="00B35DF1">
        <w:rPr>
          <w:rFonts w:ascii="Times New Roman" w:eastAsia="Times New Roman" w:hAnsi="Times New Roman"/>
          <w:bCs/>
          <w:kern w:val="32"/>
          <w:sz w:val="24"/>
          <w:szCs w:val="24"/>
          <w:lang w:val="en-US"/>
        </w:rPr>
        <w:t xml:space="preserve"> </w:t>
      </w:r>
      <w:r w:rsidR="00FE2D2B" w:rsidRPr="00B35DF1">
        <w:rPr>
          <w:rFonts w:ascii="Times New Roman" w:eastAsia="Times New Roman" w:hAnsi="Times New Roman"/>
          <w:bCs/>
          <w:kern w:val="32"/>
          <w:sz w:val="24"/>
          <w:szCs w:val="24"/>
          <w:lang w:val="en-US"/>
        </w:rPr>
        <w:t>2</w:t>
      </w:r>
      <w:proofErr w:type="gramEnd"/>
      <w:r w:rsidR="00FE2D2B" w:rsidRPr="00B35DF1">
        <w:rPr>
          <w:rFonts w:ascii="Times New Roman" w:eastAsia="Times New Roman" w:hAnsi="Times New Roman"/>
          <w:bCs/>
          <w:kern w:val="32"/>
          <w:sz w:val="24"/>
          <w:szCs w:val="24"/>
          <w:lang w:val="en-US"/>
        </w:rPr>
        <w:t xml:space="preserve"> </w:t>
      </w:r>
      <w:r w:rsidR="006D71D6" w:rsidRPr="00B35DF1">
        <w:rPr>
          <w:rFonts w:ascii="Times New Roman" w:eastAsia="Times New Roman" w:hAnsi="Times New Roman"/>
          <w:bCs/>
          <w:kern w:val="32"/>
          <w:sz w:val="24"/>
          <w:szCs w:val="24"/>
          <w:lang w:val="en-US"/>
        </w:rPr>
        <w:t>–</w:t>
      </w:r>
      <w:r w:rsidRPr="00B35DF1">
        <w:rPr>
          <w:rFonts w:ascii="Times New Roman" w:eastAsia="Times New Roman" w:hAnsi="Times New Roman"/>
          <w:bCs/>
          <w:kern w:val="32"/>
          <w:sz w:val="24"/>
          <w:szCs w:val="24"/>
          <w:lang w:val="en-US"/>
        </w:rPr>
        <w:t>Dynamics of the balance and structure of outgoing and outgoing inter</w:t>
      </w:r>
      <w:r>
        <w:rPr>
          <w:rFonts w:ascii="Times New Roman" w:eastAsia="Times New Roman" w:hAnsi="Times New Roman"/>
          <w:bCs/>
          <w:kern w:val="32"/>
          <w:sz w:val="24"/>
          <w:szCs w:val="24"/>
          <w:lang w:val="en-US"/>
        </w:rPr>
        <w:t>governmental fiscal transfers</w:t>
      </w:r>
      <w:r w:rsidRPr="00B35DF1">
        <w:rPr>
          <w:rFonts w:ascii="Times New Roman" w:eastAsia="Times New Roman" w:hAnsi="Times New Roman"/>
          <w:bCs/>
          <w:kern w:val="32"/>
          <w:sz w:val="24"/>
          <w:szCs w:val="24"/>
          <w:lang w:val="en-US"/>
        </w:rPr>
        <w:t xml:space="preserve"> of Russian </w:t>
      </w:r>
      <w:r>
        <w:rPr>
          <w:rFonts w:ascii="Times New Roman" w:eastAsia="Times New Roman" w:hAnsi="Times New Roman"/>
          <w:bCs/>
          <w:kern w:val="32"/>
          <w:sz w:val="24"/>
          <w:szCs w:val="24"/>
          <w:lang w:val="en-US"/>
        </w:rPr>
        <w:t>regions</w:t>
      </w:r>
      <w:r w:rsidRPr="00B35DF1">
        <w:rPr>
          <w:rFonts w:ascii="Times New Roman" w:eastAsia="Times New Roman" w:hAnsi="Times New Roman"/>
          <w:bCs/>
          <w:kern w:val="32"/>
          <w:sz w:val="24"/>
          <w:szCs w:val="24"/>
          <w:lang w:val="en-US"/>
        </w:rPr>
        <w:t>, thousand rubles / person</w:t>
      </w:r>
    </w:p>
    <w:p w14:paraId="28C45987" w14:textId="2FC9D253" w:rsidR="00A6052D" w:rsidRPr="00B35DF1" w:rsidRDefault="00A6052D" w:rsidP="00EA3F8A">
      <w:pPr>
        <w:spacing w:after="0" w:line="360" w:lineRule="auto"/>
        <w:ind w:firstLine="709"/>
        <w:jc w:val="both"/>
        <w:rPr>
          <w:rFonts w:ascii="Times New Roman" w:hAnsi="Times New Roman"/>
          <w:sz w:val="24"/>
          <w:szCs w:val="24"/>
          <w:lang w:val="en-US"/>
        </w:rPr>
      </w:pPr>
    </w:p>
    <w:p w14:paraId="11377AC6" w14:textId="746D3030" w:rsidR="002D35DC" w:rsidRPr="002D35DC" w:rsidRDefault="002D35DC" w:rsidP="00EA3F8A">
      <w:pPr>
        <w:spacing w:after="0" w:line="360" w:lineRule="auto"/>
        <w:ind w:firstLine="709"/>
        <w:jc w:val="both"/>
        <w:rPr>
          <w:rFonts w:ascii="Times New Roman" w:hAnsi="Times New Roman"/>
          <w:sz w:val="24"/>
          <w:szCs w:val="24"/>
          <w:lang w:val="en-US"/>
        </w:rPr>
      </w:pPr>
      <w:r w:rsidRPr="002D35DC">
        <w:rPr>
          <w:rFonts w:ascii="Times New Roman" w:hAnsi="Times New Roman"/>
          <w:sz w:val="24"/>
          <w:szCs w:val="24"/>
          <w:lang w:val="en-US"/>
        </w:rPr>
        <w:lastRenderedPageBreak/>
        <w:t xml:space="preserve">Thus, </w:t>
      </w:r>
      <w:r w:rsidRPr="008B2E55">
        <w:rPr>
          <w:rFonts w:ascii="Times New Roman" w:hAnsi="Times New Roman"/>
          <w:sz w:val="24"/>
          <w:szCs w:val="24"/>
          <w:lang w:val="en-US"/>
        </w:rPr>
        <w:t>vertical fiscal imbalance</w:t>
      </w:r>
      <w:r w:rsidRPr="002D35DC">
        <w:rPr>
          <w:rFonts w:ascii="Times New Roman" w:hAnsi="Times New Roman"/>
          <w:sz w:val="24"/>
          <w:szCs w:val="24"/>
          <w:lang w:val="en-US"/>
        </w:rPr>
        <w:t xml:space="preserve"> occupies an important place among indicators of intergovernmental fiscal relations and, under certain conditions, can be considered a reliable determinant of debt sustainability. We conclude that when assessing debt sustainability, it is necessary to analyze the state of inter</w:t>
      </w:r>
      <w:r>
        <w:rPr>
          <w:rFonts w:ascii="Times New Roman" w:hAnsi="Times New Roman"/>
          <w:sz w:val="24"/>
          <w:szCs w:val="24"/>
          <w:lang w:val="en-US"/>
        </w:rPr>
        <w:t>governmental fiscal</w:t>
      </w:r>
      <w:r w:rsidRPr="002D35DC">
        <w:rPr>
          <w:rFonts w:ascii="Times New Roman" w:hAnsi="Times New Roman"/>
          <w:sz w:val="24"/>
          <w:szCs w:val="24"/>
          <w:lang w:val="en-US"/>
        </w:rPr>
        <w:t xml:space="preserve"> relations not only between federal </w:t>
      </w:r>
      <w:r w:rsidR="00354282">
        <w:rPr>
          <w:rFonts w:ascii="Times New Roman" w:hAnsi="Times New Roman"/>
          <w:sz w:val="24"/>
          <w:szCs w:val="24"/>
          <w:lang w:val="en-US"/>
        </w:rPr>
        <w:t xml:space="preserve">and regional </w:t>
      </w:r>
      <w:r w:rsidRPr="002D35DC">
        <w:rPr>
          <w:rFonts w:ascii="Times New Roman" w:hAnsi="Times New Roman"/>
          <w:sz w:val="24"/>
          <w:szCs w:val="24"/>
          <w:lang w:val="en-US"/>
        </w:rPr>
        <w:t>authorities, but also between regional authorities and municipal administrations.</w:t>
      </w:r>
    </w:p>
    <w:p w14:paraId="375CDFFE" w14:textId="147383B2" w:rsidR="00223B61" w:rsidRPr="002D35DC" w:rsidRDefault="00223B61" w:rsidP="00EA3F8A">
      <w:pPr>
        <w:spacing w:after="0" w:line="360" w:lineRule="auto"/>
        <w:ind w:firstLine="709"/>
        <w:jc w:val="both"/>
        <w:rPr>
          <w:rFonts w:ascii="Times New Roman" w:hAnsi="Times New Roman"/>
          <w:sz w:val="24"/>
          <w:szCs w:val="24"/>
          <w:lang w:val="en-US"/>
        </w:rPr>
      </w:pPr>
    </w:p>
    <w:p w14:paraId="513B8E79" w14:textId="77777777" w:rsidR="00FD3FCC" w:rsidRPr="002D35DC" w:rsidRDefault="00FD3FCC" w:rsidP="00EA3F8A">
      <w:pPr>
        <w:spacing w:after="0" w:line="360" w:lineRule="auto"/>
        <w:ind w:firstLine="709"/>
        <w:jc w:val="both"/>
        <w:rPr>
          <w:rFonts w:ascii="Times New Roman" w:hAnsi="Times New Roman"/>
          <w:sz w:val="24"/>
          <w:szCs w:val="24"/>
          <w:lang w:val="en-US"/>
        </w:rPr>
      </w:pPr>
    </w:p>
    <w:sectPr w:rsidR="00FD3FCC" w:rsidRPr="002D35D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674E" w14:textId="77777777" w:rsidR="00763221" w:rsidRDefault="00763221" w:rsidP="00E77D13">
      <w:pPr>
        <w:spacing w:after="0" w:line="240" w:lineRule="auto"/>
      </w:pPr>
      <w:r>
        <w:separator/>
      </w:r>
    </w:p>
  </w:endnote>
  <w:endnote w:type="continuationSeparator" w:id="0">
    <w:p w14:paraId="1A0A88B0" w14:textId="77777777" w:rsidR="00763221" w:rsidRDefault="00763221" w:rsidP="00E7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79576926"/>
      <w:docPartObj>
        <w:docPartGallery w:val="Page Numbers (Bottom of Page)"/>
        <w:docPartUnique/>
      </w:docPartObj>
    </w:sdtPr>
    <w:sdtEndPr/>
    <w:sdtContent>
      <w:p w14:paraId="068A483A" w14:textId="3D45BDDB" w:rsidR="00B57EB4" w:rsidRPr="00E77D13" w:rsidRDefault="00B57EB4">
        <w:pPr>
          <w:pStyle w:val="a7"/>
          <w:jc w:val="right"/>
          <w:rPr>
            <w:rFonts w:ascii="Times New Roman" w:hAnsi="Times New Roman"/>
          </w:rPr>
        </w:pPr>
        <w:r w:rsidRPr="00E77D13">
          <w:rPr>
            <w:rFonts w:ascii="Times New Roman" w:hAnsi="Times New Roman"/>
          </w:rPr>
          <w:fldChar w:fldCharType="begin"/>
        </w:r>
        <w:r w:rsidRPr="00E77D13">
          <w:rPr>
            <w:rFonts w:ascii="Times New Roman" w:hAnsi="Times New Roman"/>
          </w:rPr>
          <w:instrText>PAGE   \* MERGEFORMAT</w:instrText>
        </w:r>
        <w:r w:rsidRPr="00E77D13">
          <w:rPr>
            <w:rFonts w:ascii="Times New Roman" w:hAnsi="Times New Roman"/>
          </w:rPr>
          <w:fldChar w:fldCharType="separate"/>
        </w:r>
        <w:r w:rsidR="007F034F">
          <w:rPr>
            <w:rFonts w:ascii="Times New Roman" w:hAnsi="Times New Roman"/>
            <w:noProof/>
          </w:rPr>
          <w:t>11</w:t>
        </w:r>
        <w:r w:rsidRPr="00E77D13">
          <w:rPr>
            <w:rFonts w:ascii="Times New Roman" w:hAnsi="Times New Roman"/>
          </w:rPr>
          <w:fldChar w:fldCharType="end"/>
        </w:r>
      </w:p>
    </w:sdtContent>
  </w:sdt>
  <w:p w14:paraId="02018D39" w14:textId="77777777" w:rsidR="00B57EB4" w:rsidRDefault="00B57E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C3FB" w14:textId="77777777" w:rsidR="00763221" w:rsidRDefault="00763221" w:rsidP="00E77D13">
      <w:pPr>
        <w:spacing w:after="0" w:line="240" w:lineRule="auto"/>
      </w:pPr>
      <w:r>
        <w:separator/>
      </w:r>
    </w:p>
  </w:footnote>
  <w:footnote w:type="continuationSeparator" w:id="0">
    <w:p w14:paraId="51332D0F" w14:textId="77777777" w:rsidR="00763221" w:rsidRDefault="00763221" w:rsidP="00E77D13">
      <w:pPr>
        <w:spacing w:after="0" w:line="240" w:lineRule="auto"/>
      </w:pPr>
      <w:r>
        <w:continuationSeparator/>
      </w:r>
    </w:p>
  </w:footnote>
  <w:footnote w:id="1">
    <w:p w14:paraId="342F42B9" w14:textId="3F6E3373" w:rsidR="0051555A" w:rsidRPr="00AE2196" w:rsidRDefault="0051555A">
      <w:pPr>
        <w:pStyle w:val="a9"/>
        <w:rPr>
          <w:lang w:val="en-US"/>
        </w:rPr>
      </w:pPr>
      <w:r>
        <w:rPr>
          <w:rStyle w:val="ab"/>
        </w:rPr>
        <w:footnoteRef/>
      </w:r>
      <w:r w:rsidRPr="00AE2196">
        <w:rPr>
          <w:lang w:val="en-US"/>
        </w:rPr>
        <w:t xml:space="preserve"> </w:t>
      </w:r>
      <w:r w:rsidR="00AE2196" w:rsidRPr="00F65C42">
        <w:rPr>
          <w:rFonts w:ascii="Times New Roman" w:hAnsi="Times New Roman"/>
          <w:lang w:val="en-US"/>
        </w:rPr>
        <w:t>The report was prepared as part of the implementation of the state task of the RANEPA for 202</w:t>
      </w:r>
      <w:r w:rsidR="00AE2196">
        <w:rPr>
          <w:rFonts w:ascii="Times New Roman" w:hAnsi="Times New Roman"/>
          <w:lang w:val="en-US"/>
        </w:rPr>
        <w:t>2</w:t>
      </w:r>
      <w:r w:rsidR="00AE2196" w:rsidRPr="00F65C42">
        <w:rPr>
          <w:rFonts w:ascii="Times New Roman" w:hAnsi="Times New Roman"/>
          <w:lang w:val="en-US"/>
        </w:rPr>
        <w:t>.</w:t>
      </w:r>
    </w:p>
  </w:footnote>
  <w:footnote w:id="2">
    <w:p w14:paraId="3E6E3334" w14:textId="77777777" w:rsidR="000B37C4" w:rsidRPr="008B10D3" w:rsidRDefault="000B37C4" w:rsidP="000B37C4">
      <w:pPr>
        <w:pStyle w:val="a9"/>
        <w:rPr>
          <w:rFonts w:ascii="Times New Roman" w:hAnsi="Times New Roman"/>
          <w:lang w:val="en-US"/>
        </w:rPr>
      </w:pPr>
      <w:r w:rsidRPr="008B10D3">
        <w:rPr>
          <w:rStyle w:val="ab"/>
          <w:rFonts w:ascii="Times New Roman" w:hAnsi="Times New Roman"/>
        </w:rPr>
        <w:footnoteRef/>
      </w:r>
      <w:r w:rsidRPr="008B10D3">
        <w:rPr>
          <w:rFonts w:ascii="Times New Roman" w:hAnsi="Times New Roman"/>
          <w:lang w:val="en-US"/>
        </w:rPr>
        <w:t xml:space="preserve"> </w:t>
      </w:r>
      <w:proofErr w:type="spellStart"/>
      <w:r w:rsidRPr="008B10D3">
        <w:rPr>
          <w:rFonts w:ascii="Times New Roman" w:hAnsi="Times New Roman"/>
          <w:lang w:val="en-US"/>
        </w:rPr>
        <w:t>Aldasoro</w:t>
      </w:r>
      <w:proofErr w:type="spellEnd"/>
      <w:r w:rsidRPr="008B10D3">
        <w:rPr>
          <w:rFonts w:ascii="Times New Roman" w:hAnsi="Times New Roman"/>
          <w:lang w:val="en-US"/>
        </w:rPr>
        <w:t xml:space="preserve"> I., </w:t>
      </w:r>
      <w:proofErr w:type="spellStart"/>
      <w:r w:rsidRPr="008B10D3">
        <w:rPr>
          <w:rFonts w:ascii="Times New Roman" w:hAnsi="Times New Roman"/>
          <w:lang w:val="en-US"/>
        </w:rPr>
        <w:t>Seiferling</w:t>
      </w:r>
      <w:proofErr w:type="spellEnd"/>
      <w:r w:rsidRPr="008B10D3">
        <w:rPr>
          <w:rFonts w:ascii="Times New Roman" w:hAnsi="Times New Roman"/>
          <w:lang w:val="en-US"/>
        </w:rPr>
        <w:t xml:space="preserve"> M. Vertical Fiscal </w:t>
      </w:r>
      <w:proofErr w:type="gramStart"/>
      <w:r w:rsidRPr="008B10D3">
        <w:rPr>
          <w:rFonts w:ascii="Times New Roman" w:hAnsi="Times New Roman"/>
          <w:lang w:val="en-US"/>
        </w:rPr>
        <w:t>Imbalances</w:t>
      </w:r>
      <w:proofErr w:type="gramEnd"/>
      <w:r w:rsidRPr="008B10D3">
        <w:rPr>
          <w:rFonts w:ascii="Times New Roman" w:hAnsi="Times New Roman"/>
          <w:lang w:val="en-US"/>
        </w:rPr>
        <w:t xml:space="preserve"> and the Accumulation of Government Debt // IMF Working Papers, 2014, 14/209. </w:t>
      </w:r>
      <w:proofErr w:type="spellStart"/>
      <w:r w:rsidRPr="008B10D3">
        <w:rPr>
          <w:rFonts w:ascii="Times New Roman" w:hAnsi="Times New Roman"/>
          <w:lang w:val="en-US"/>
        </w:rPr>
        <w:t>doi</w:t>
      </w:r>
      <w:proofErr w:type="spellEnd"/>
      <w:r w:rsidRPr="008B10D3">
        <w:rPr>
          <w:rFonts w:ascii="Times New Roman" w:hAnsi="Times New Roman"/>
          <w:lang w:val="en-US"/>
        </w:rPr>
        <w:t>: 10.5089/9781484357552.001.</w:t>
      </w:r>
    </w:p>
  </w:footnote>
  <w:footnote w:id="3">
    <w:p w14:paraId="3A47CAD7" w14:textId="2B01AD36" w:rsidR="00D167E3" w:rsidRPr="00D167E3" w:rsidRDefault="00D167E3">
      <w:pPr>
        <w:pStyle w:val="a9"/>
        <w:rPr>
          <w:lang w:val="en-US"/>
        </w:rPr>
      </w:pPr>
      <w:r>
        <w:rPr>
          <w:rStyle w:val="ab"/>
        </w:rPr>
        <w:footnoteRef/>
      </w:r>
      <w:r w:rsidRPr="00D167E3">
        <w:rPr>
          <w:lang w:val="en-US"/>
        </w:rPr>
        <w:t xml:space="preserve"> </w:t>
      </w:r>
      <w:proofErr w:type="spellStart"/>
      <w:r w:rsidRPr="00D167E3">
        <w:rPr>
          <w:rFonts w:ascii="Times New Roman" w:hAnsi="Times New Roman"/>
          <w:lang w:val="en-US"/>
        </w:rPr>
        <w:t>Mikha</w:t>
      </w:r>
      <w:r w:rsidR="00DD54D0">
        <w:rPr>
          <w:rFonts w:ascii="Times New Roman" w:hAnsi="Times New Roman"/>
          <w:lang w:val="en-US"/>
        </w:rPr>
        <w:t>y</w:t>
      </w:r>
      <w:r w:rsidRPr="00D167E3">
        <w:rPr>
          <w:rFonts w:ascii="Times New Roman" w:hAnsi="Times New Roman"/>
          <w:lang w:val="en-US"/>
        </w:rPr>
        <w:t>lova</w:t>
      </w:r>
      <w:proofErr w:type="spellEnd"/>
      <w:r w:rsidRPr="00D167E3">
        <w:rPr>
          <w:rFonts w:ascii="Times New Roman" w:hAnsi="Times New Roman"/>
          <w:lang w:val="en-US"/>
        </w:rPr>
        <w:t xml:space="preserve"> A.A., </w:t>
      </w:r>
      <w:proofErr w:type="spellStart"/>
      <w:r w:rsidRPr="00D167E3">
        <w:rPr>
          <w:rFonts w:ascii="Times New Roman" w:hAnsi="Times New Roman"/>
          <w:lang w:val="en-US"/>
        </w:rPr>
        <w:t>Timushev</w:t>
      </w:r>
      <w:proofErr w:type="spellEnd"/>
      <w:r w:rsidRPr="00D167E3">
        <w:rPr>
          <w:rFonts w:ascii="Times New Roman" w:hAnsi="Times New Roman"/>
          <w:lang w:val="en-US"/>
        </w:rPr>
        <w:t xml:space="preserve"> E.N. Determinants of credit ratings of regions of Russia // </w:t>
      </w:r>
      <w:proofErr w:type="spellStart"/>
      <w:r w:rsidRPr="00D167E3">
        <w:rPr>
          <w:rFonts w:ascii="Times New Roman" w:hAnsi="Times New Roman"/>
          <w:lang w:val="en-US"/>
        </w:rPr>
        <w:t>Regionology</w:t>
      </w:r>
      <w:proofErr w:type="spellEnd"/>
      <w:r w:rsidRPr="00D167E3">
        <w:rPr>
          <w:rFonts w:ascii="Times New Roman" w:hAnsi="Times New Roman"/>
          <w:lang w:val="en-US"/>
        </w:rPr>
        <w:t xml:space="preserve">. 2021. Volume 29, </w:t>
      </w:r>
      <w:r>
        <w:rPr>
          <w:rFonts w:ascii="Times New Roman" w:hAnsi="Times New Roman"/>
          <w:lang w:val="en-US"/>
        </w:rPr>
        <w:t>N</w:t>
      </w:r>
      <w:r w:rsidRPr="00D167E3">
        <w:rPr>
          <w:rFonts w:ascii="Times New Roman" w:hAnsi="Times New Roman"/>
          <w:lang w:val="en-US"/>
        </w:rPr>
        <w:t>o. 2.</w:t>
      </w:r>
      <w:r>
        <w:rPr>
          <w:rFonts w:ascii="Times New Roman" w:hAnsi="Times New Roman"/>
          <w:lang w:val="en-US"/>
        </w:rPr>
        <w:t xml:space="preserve"> </w:t>
      </w:r>
      <w:r w:rsidRPr="00D167E3">
        <w:rPr>
          <w:rFonts w:ascii="Times New Roman" w:hAnsi="Times New Roman"/>
          <w:lang w:val="en-US"/>
        </w:rPr>
        <w:t>P. 355–379. https://doi.org/10.15507/2413-1407.115.029.202102.355-379.</w:t>
      </w:r>
    </w:p>
  </w:footnote>
  <w:footnote w:id="4">
    <w:p w14:paraId="05ADAE32" w14:textId="7298FAF0" w:rsidR="002D35DC" w:rsidRPr="002D35DC" w:rsidRDefault="002D35DC" w:rsidP="002D35DC">
      <w:pPr>
        <w:pStyle w:val="a9"/>
        <w:rPr>
          <w:rFonts w:ascii="Times New Roman" w:hAnsi="Times New Roman"/>
          <w:lang w:val="en-US"/>
        </w:rPr>
      </w:pPr>
      <w:r w:rsidRPr="00322E72">
        <w:rPr>
          <w:rStyle w:val="ab"/>
          <w:rFonts w:ascii="Times New Roman" w:hAnsi="Times New Roman"/>
        </w:rPr>
        <w:footnoteRef/>
      </w:r>
      <w:r w:rsidRPr="00AE2196">
        <w:rPr>
          <w:rFonts w:ascii="Times New Roman" w:hAnsi="Times New Roman"/>
          <w:lang w:val="en-US"/>
        </w:rPr>
        <w:t xml:space="preserve"> </w:t>
      </w:r>
      <w:proofErr w:type="spellStart"/>
      <w:r w:rsidRPr="002D35DC">
        <w:rPr>
          <w:rFonts w:ascii="Times New Roman" w:hAnsi="Times New Roman"/>
          <w:lang w:val="en-US"/>
        </w:rPr>
        <w:t>Mikha</w:t>
      </w:r>
      <w:r>
        <w:rPr>
          <w:rFonts w:ascii="Times New Roman" w:hAnsi="Times New Roman"/>
          <w:lang w:val="en-US"/>
        </w:rPr>
        <w:t>y</w:t>
      </w:r>
      <w:r w:rsidRPr="002D35DC">
        <w:rPr>
          <w:rFonts w:ascii="Times New Roman" w:hAnsi="Times New Roman"/>
          <w:lang w:val="en-US"/>
        </w:rPr>
        <w:t>lova</w:t>
      </w:r>
      <w:proofErr w:type="spellEnd"/>
      <w:r w:rsidRPr="002D35DC">
        <w:rPr>
          <w:rFonts w:ascii="Times New Roman" w:hAnsi="Times New Roman"/>
          <w:lang w:val="en-US"/>
        </w:rPr>
        <w:t xml:space="preserve"> A.A., </w:t>
      </w:r>
      <w:proofErr w:type="spellStart"/>
      <w:r w:rsidRPr="002D35DC">
        <w:rPr>
          <w:rFonts w:ascii="Times New Roman" w:hAnsi="Times New Roman"/>
          <w:lang w:val="en-US"/>
        </w:rPr>
        <w:t>Timushev</w:t>
      </w:r>
      <w:proofErr w:type="spellEnd"/>
      <w:r w:rsidRPr="002D35DC">
        <w:rPr>
          <w:rFonts w:ascii="Times New Roman" w:hAnsi="Times New Roman"/>
          <w:lang w:val="en-US"/>
        </w:rPr>
        <w:t xml:space="preserve"> E.N. The creditworthiness of the regions of Russia: what to look for // Financial Journal.</w:t>
      </w:r>
      <w:r w:rsidR="00D167E3">
        <w:rPr>
          <w:rFonts w:ascii="Times New Roman" w:hAnsi="Times New Roman"/>
          <w:lang w:val="en-US"/>
        </w:rPr>
        <w:t xml:space="preserve"> </w:t>
      </w:r>
      <w:r w:rsidRPr="002D35DC">
        <w:rPr>
          <w:rFonts w:ascii="Times New Roman" w:hAnsi="Times New Roman"/>
          <w:lang w:val="en-US"/>
        </w:rPr>
        <w:t xml:space="preserve">2020. </w:t>
      </w:r>
      <w:r w:rsidR="00D167E3">
        <w:rPr>
          <w:rFonts w:ascii="Times New Roman" w:hAnsi="Times New Roman"/>
          <w:lang w:val="en-US"/>
        </w:rPr>
        <w:t>No.</w:t>
      </w:r>
      <w:r w:rsidRPr="002D35DC">
        <w:rPr>
          <w:rFonts w:ascii="Times New Roman" w:hAnsi="Times New Roman"/>
          <w:lang w:val="en-US"/>
        </w:rPr>
        <w:t xml:space="preserve"> 6. </w:t>
      </w:r>
      <w:r w:rsidR="00D167E3">
        <w:rPr>
          <w:rFonts w:ascii="Times New Roman" w:hAnsi="Times New Roman"/>
          <w:lang w:val="en-US"/>
        </w:rPr>
        <w:t>P</w:t>
      </w:r>
      <w:r w:rsidRPr="002D35DC">
        <w:rPr>
          <w:rFonts w:ascii="Times New Roman" w:hAnsi="Times New Roman"/>
          <w:lang w:val="en-US"/>
        </w:rPr>
        <w:t>. 69–86. https://doi.org/10.31107/2075-1990-2020-6-69-86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235D"/>
    <w:multiLevelType w:val="hybridMultilevel"/>
    <w:tmpl w:val="80629E48"/>
    <w:lvl w:ilvl="0" w:tplc="787EEB0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4E"/>
    <w:rsid w:val="00000335"/>
    <w:rsid w:val="00014B19"/>
    <w:rsid w:val="000161CA"/>
    <w:rsid w:val="000209D0"/>
    <w:rsid w:val="00020D11"/>
    <w:rsid w:val="00030E46"/>
    <w:rsid w:val="00036B88"/>
    <w:rsid w:val="00036DA9"/>
    <w:rsid w:val="000409B6"/>
    <w:rsid w:val="00041AF2"/>
    <w:rsid w:val="000502FF"/>
    <w:rsid w:val="000545B2"/>
    <w:rsid w:val="00055A11"/>
    <w:rsid w:val="0005731A"/>
    <w:rsid w:val="00061136"/>
    <w:rsid w:val="00061831"/>
    <w:rsid w:val="00067C33"/>
    <w:rsid w:val="0007206E"/>
    <w:rsid w:val="0007207D"/>
    <w:rsid w:val="0007430E"/>
    <w:rsid w:val="000750B9"/>
    <w:rsid w:val="00076FDF"/>
    <w:rsid w:val="00080DEF"/>
    <w:rsid w:val="0008299C"/>
    <w:rsid w:val="00082FF2"/>
    <w:rsid w:val="000839CE"/>
    <w:rsid w:val="000851E1"/>
    <w:rsid w:val="00090AF8"/>
    <w:rsid w:val="000925E9"/>
    <w:rsid w:val="000926A7"/>
    <w:rsid w:val="00094C29"/>
    <w:rsid w:val="00095382"/>
    <w:rsid w:val="00097D6B"/>
    <w:rsid w:val="00097F8A"/>
    <w:rsid w:val="000A2ABB"/>
    <w:rsid w:val="000A32CA"/>
    <w:rsid w:val="000A42AE"/>
    <w:rsid w:val="000A76F5"/>
    <w:rsid w:val="000A7DD8"/>
    <w:rsid w:val="000B33CA"/>
    <w:rsid w:val="000B37C4"/>
    <w:rsid w:val="000B64DE"/>
    <w:rsid w:val="000C2D5A"/>
    <w:rsid w:val="000D09E8"/>
    <w:rsid w:val="000D3918"/>
    <w:rsid w:val="000D4B51"/>
    <w:rsid w:val="000E0453"/>
    <w:rsid w:val="000E0B35"/>
    <w:rsid w:val="000F1329"/>
    <w:rsid w:val="000F2DDC"/>
    <w:rsid w:val="000F304D"/>
    <w:rsid w:val="000F3FFD"/>
    <w:rsid w:val="000F6B18"/>
    <w:rsid w:val="00102378"/>
    <w:rsid w:val="00104A21"/>
    <w:rsid w:val="00104EEE"/>
    <w:rsid w:val="00106EC0"/>
    <w:rsid w:val="001070A4"/>
    <w:rsid w:val="00112818"/>
    <w:rsid w:val="00112AFE"/>
    <w:rsid w:val="0011551F"/>
    <w:rsid w:val="001161DA"/>
    <w:rsid w:val="001207F9"/>
    <w:rsid w:val="001255DD"/>
    <w:rsid w:val="0012611B"/>
    <w:rsid w:val="001358E0"/>
    <w:rsid w:val="00135A50"/>
    <w:rsid w:val="0014082D"/>
    <w:rsid w:val="00145871"/>
    <w:rsid w:val="001473D6"/>
    <w:rsid w:val="00150A52"/>
    <w:rsid w:val="00152D46"/>
    <w:rsid w:val="001646DB"/>
    <w:rsid w:val="00165183"/>
    <w:rsid w:val="00167C6D"/>
    <w:rsid w:val="00172135"/>
    <w:rsid w:val="00173C59"/>
    <w:rsid w:val="0017506A"/>
    <w:rsid w:val="001849A6"/>
    <w:rsid w:val="00184BAD"/>
    <w:rsid w:val="0018534C"/>
    <w:rsid w:val="001853F4"/>
    <w:rsid w:val="00185791"/>
    <w:rsid w:val="00185D75"/>
    <w:rsid w:val="00191033"/>
    <w:rsid w:val="00191C93"/>
    <w:rsid w:val="00194261"/>
    <w:rsid w:val="0019457C"/>
    <w:rsid w:val="001A5288"/>
    <w:rsid w:val="001A7496"/>
    <w:rsid w:val="001A7C60"/>
    <w:rsid w:val="001B275F"/>
    <w:rsid w:val="001B48AE"/>
    <w:rsid w:val="001B6E20"/>
    <w:rsid w:val="001C1705"/>
    <w:rsid w:val="001C1CD9"/>
    <w:rsid w:val="001C5C69"/>
    <w:rsid w:val="001C612F"/>
    <w:rsid w:val="001D3877"/>
    <w:rsid w:val="001D47BC"/>
    <w:rsid w:val="001D7F47"/>
    <w:rsid w:val="001E0914"/>
    <w:rsid w:val="001E240E"/>
    <w:rsid w:val="001E76B5"/>
    <w:rsid w:val="001F5A96"/>
    <w:rsid w:val="001F67FC"/>
    <w:rsid w:val="0020133B"/>
    <w:rsid w:val="00201D41"/>
    <w:rsid w:val="00206238"/>
    <w:rsid w:val="00210677"/>
    <w:rsid w:val="0021099C"/>
    <w:rsid w:val="00214A97"/>
    <w:rsid w:val="00215408"/>
    <w:rsid w:val="002168EC"/>
    <w:rsid w:val="002175DB"/>
    <w:rsid w:val="002202C4"/>
    <w:rsid w:val="00220A0B"/>
    <w:rsid w:val="0022242E"/>
    <w:rsid w:val="00223B61"/>
    <w:rsid w:val="00223FED"/>
    <w:rsid w:val="00230018"/>
    <w:rsid w:val="002332F3"/>
    <w:rsid w:val="00234E87"/>
    <w:rsid w:val="002356B4"/>
    <w:rsid w:val="00240129"/>
    <w:rsid w:val="00240159"/>
    <w:rsid w:val="00244759"/>
    <w:rsid w:val="00252CF5"/>
    <w:rsid w:val="00252EE4"/>
    <w:rsid w:val="00253216"/>
    <w:rsid w:val="00253CE8"/>
    <w:rsid w:val="002564D2"/>
    <w:rsid w:val="00257A20"/>
    <w:rsid w:val="0026269D"/>
    <w:rsid w:val="00262ACE"/>
    <w:rsid w:val="002655BF"/>
    <w:rsid w:val="00267246"/>
    <w:rsid w:val="00277978"/>
    <w:rsid w:val="00280BBA"/>
    <w:rsid w:val="00284DD2"/>
    <w:rsid w:val="0029086D"/>
    <w:rsid w:val="00292129"/>
    <w:rsid w:val="002933BC"/>
    <w:rsid w:val="0029498B"/>
    <w:rsid w:val="002A0B17"/>
    <w:rsid w:val="002A701E"/>
    <w:rsid w:val="002B035C"/>
    <w:rsid w:val="002B19D3"/>
    <w:rsid w:val="002B2326"/>
    <w:rsid w:val="002B2A70"/>
    <w:rsid w:val="002B2FB2"/>
    <w:rsid w:val="002B3559"/>
    <w:rsid w:val="002C1AF9"/>
    <w:rsid w:val="002C31ED"/>
    <w:rsid w:val="002C523E"/>
    <w:rsid w:val="002C5376"/>
    <w:rsid w:val="002C5CD4"/>
    <w:rsid w:val="002C617C"/>
    <w:rsid w:val="002C62CE"/>
    <w:rsid w:val="002C6F91"/>
    <w:rsid w:val="002D0755"/>
    <w:rsid w:val="002D0B7F"/>
    <w:rsid w:val="002D27C9"/>
    <w:rsid w:val="002D2F33"/>
    <w:rsid w:val="002D35DC"/>
    <w:rsid w:val="002D5883"/>
    <w:rsid w:val="002D5D04"/>
    <w:rsid w:val="002E115A"/>
    <w:rsid w:val="002E1CFF"/>
    <w:rsid w:val="002E30AD"/>
    <w:rsid w:val="002E3CEA"/>
    <w:rsid w:val="002E6F0E"/>
    <w:rsid w:val="002F174D"/>
    <w:rsid w:val="002F6DD5"/>
    <w:rsid w:val="002F764E"/>
    <w:rsid w:val="00302B2C"/>
    <w:rsid w:val="00303EF4"/>
    <w:rsid w:val="003041E9"/>
    <w:rsid w:val="0030587F"/>
    <w:rsid w:val="0030676F"/>
    <w:rsid w:val="00310097"/>
    <w:rsid w:val="003115BE"/>
    <w:rsid w:val="003117D8"/>
    <w:rsid w:val="00314357"/>
    <w:rsid w:val="00314394"/>
    <w:rsid w:val="00315CB0"/>
    <w:rsid w:val="00316BA3"/>
    <w:rsid w:val="0032041C"/>
    <w:rsid w:val="00320F60"/>
    <w:rsid w:val="003215C4"/>
    <w:rsid w:val="00322E72"/>
    <w:rsid w:val="00331A75"/>
    <w:rsid w:val="00333DA6"/>
    <w:rsid w:val="003347A4"/>
    <w:rsid w:val="0033517F"/>
    <w:rsid w:val="00335B70"/>
    <w:rsid w:val="0034043B"/>
    <w:rsid w:val="00340E72"/>
    <w:rsid w:val="00342618"/>
    <w:rsid w:val="00342BC4"/>
    <w:rsid w:val="00345FCA"/>
    <w:rsid w:val="003478C3"/>
    <w:rsid w:val="00350940"/>
    <w:rsid w:val="00354282"/>
    <w:rsid w:val="0035460D"/>
    <w:rsid w:val="00356EA7"/>
    <w:rsid w:val="00362BEC"/>
    <w:rsid w:val="003720F1"/>
    <w:rsid w:val="0037391D"/>
    <w:rsid w:val="003768C7"/>
    <w:rsid w:val="00380B98"/>
    <w:rsid w:val="00385A69"/>
    <w:rsid w:val="00391A9E"/>
    <w:rsid w:val="0039309A"/>
    <w:rsid w:val="00394C29"/>
    <w:rsid w:val="003A1AAE"/>
    <w:rsid w:val="003A203E"/>
    <w:rsid w:val="003A464C"/>
    <w:rsid w:val="003A7CB2"/>
    <w:rsid w:val="003A7DCF"/>
    <w:rsid w:val="003B07C2"/>
    <w:rsid w:val="003B4BD0"/>
    <w:rsid w:val="003B5F6C"/>
    <w:rsid w:val="003C0453"/>
    <w:rsid w:val="003C28FD"/>
    <w:rsid w:val="003C3DB1"/>
    <w:rsid w:val="003C43B3"/>
    <w:rsid w:val="003D2A09"/>
    <w:rsid w:val="003D644E"/>
    <w:rsid w:val="003D669E"/>
    <w:rsid w:val="003E1394"/>
    <w:rsid w:val="003E2524"/>
    <w:rsid w:val="003E513C"/>
    <w:rsid w:val="003E5D07"/>
    <w:rsid w:val="003E6868"/>
    <w:rsid w:val="003F1081"/>
    <w:rsid w:val="003F3FED"/>
    <w:rsid w:val="003F4FA7"/>
    <w:rsid w:val="00401EB2"/>
    <w:rsid w:val="00401F7C"/>
    <w:rsid w:val="004071E6"/>
    <w:rsid w:val="00410732"/>
    <w:rsid w:val="0041470B"/>
    <w:rsid w:val="00417E9C"/>
    <w:rsid w:val="00420162"/>
    <w:rsid w:val="00422C38"/>
    <w:rsid w:val="00430B75"/>
    <w:rsid w:val="00432DD8"/>
    <w:rsid w:val="00433280"/>
    <w:rsid w:val="004336CD"/>
    <w:rsid w:val="0043538A"/>
    <w:rsid w:val="00437834"/>
    <w:rsid w:val="004409E1"/>
    <w:rsid w:val="004431C7"/>
    <w:rsid w:val="004507CF"/>
    <w:rsid w:val="00457D8F"/>
    <w:rsid w:val="00461C4A"/>
    <w:rsid w:val="00461C67"/>
    <w:rsid w:val="0046354D"/>
    <w:rsid w:val="0046440E"/>
    <w:rsid w:val="00464E4A"/>
    <w:rsid w:val="00466F50"/>
    <w:rsid w:val="00470638"/>
    <w:rsid w:val="00471649"/>
    <w:rsid w:val="00472F98"/>
    <w:rsid w:val="004806F0"/>
    <w:rsid w:val="00481C7C"/>
    <w:rsid w:val="00486568"/>
    <w:rsid w:val="00486DD4"/>
    <w:rsid w:val="00486FC0"/>
    <w:rsid w:val="00493A12"/>
    <w:rsid w:val="004957AA"/>
    <w:rsid w:val="00497F29"/>
    <w:rsid w:val="004A111D"/>
    <w:rsid w:val="004A2D8A"/>
    <w:rsid w:val="004A3626"/>
    <w:rsid w:val="004A3BC6"/>
    <w:rsid w:val="004A79F7"/>
    <w:rsid w:val="004B131D"/>
    <w:rsid w:val="004B1401"/>
    <w:rsid w:val="004C3793"/>
    <w:rsid w:val="004D1BEC"/>
    <w:rsid w:val="004D4D12"/>
    <w:rsid w:val="004E0930"/>
    <w:rsid w:val="004E2431"/>
    <w:rsid w:val="004E3214"/>
    <w:rsid w:val="004E33AE"/>
    <w:rsid w:val="004E427D"/>
    <w:rsid w:val="004F07CF"/>
    <w:rsid w:val="004F3529"/>
    <w:rsid w:val="004F57F3"/>
    <w:rsid w:val="004F6EE8"/>
    <w:rsid w:val="004F7ABE"/>
    <w:rsid w:val="00500B1F"/>
    <w:rsid w:val="0050409E"/>
    <w:rsid w:val="00504D3B"/>
    <w:rsid w:val="00506C4A"/>
    <w:rsid w:val="00512304"/>
    <w:rsid w:val="00513577"/>
    <w:rsid w:val="0051381E"/>
    <w:rsid w:val="0051450A"/>
    <w:rsid w:val="0051549F"/>
    <w:rsid w:val="0051555A"/>
    <w:rsid w:val="0051599B"/>
    <w:rsid w:val="00522E35"/>
    <w:rsid w:val="0052332C"/>
    <w:rsid w:val="005300B5"/>
    <w:rsid w:val="00530530"/>
    <w:rsid w:val="005325CB"/>
    <w:rsid w:val="005341C8"/>
    <w:rsid w:val="0053763A"/>
    <w:rsid w:val="0054282D"/>
    <w:rsid w:val="0054450B"/>
    <w:rsid w:val="0054455F"/>
    <w:rsid w:val="00545AD5"/>
    <w:rsid w:val="00546254"/>
    <w:rsid w:val="00550813"/>
    <w:rsid w:val="0055305B"/>
    <w:rsid w:val="00553FDA"/>
    <w:rsid w:val="0055773F"/>
    <w:rsid w:val="00561E5F"/>
    <w:rsid w:val="00565B06"/>
    <w:rsid w:val="0057375D"/>
    <w:rsid w:val="005775FE"/>
    <w:rsid w:val="0058141C"/>
    <w:rsid w:val="00581B23"/>
    <w:rsid w:val="00587244"/>
    <w:rsid w:val="00587A50"/>
    <w:rsid w:val="00592886"/>
    <w:rsid w:val="005939A2"/>
    <w:rsid w:val="005A523C"/>
    <w:rsid w:val="005A6B9B"/>
    <w:rsid w:val="005B2D23"/>
    <w:rsid w:val="005B7366"/>
    <w:rsid w:val="005B7570"/>
    <w:rsid w:val="005C2F4A"/>
    <w:rsid w:val="005C420B"/>
    <w:rsid w:val="005C4BF5"/>
    <w:rsid w:val="005C4E31"/>
    <w:rsid w:val="005D0881"/>
    <w:rsid w:val="005D29E5"/>
    <w:rsid w:val="005D6CE3"/>
    <w:rsid w:val="005E104A"/>
    <w:rsid w:val="005E5355"/>
    <w:rsid w:val="005F003C"/>
    <w:rsid w:val="005F3B06"/>
    <w:rsid w:val="00603D02"/>
    <w:rsid w:val="0060422B"/>
    <w:rsid w:val="00605633"/>
    <w:rsid w:val="00607AE0"/>
    <w:rsid w:val="00612D41"/>
    <w:rsid w:val="006137DA"/>
    <w:rsid w:val="0062099F"/>
    <w:rsid w:val="00621230"/>
    <w:rsid w:val="006237D5"/>
    <w:rsid w:val="00625CB2"/>
    <w:rsid w:val="00626191"/>
    <w:rsid w:val="00631016"/>
    <w:rsid w:val="0063184D"/>
    <w:rsid w:val="00634B3F"/>
    <w:rsid w:val="00634F26"/>
    <w:rsid w:val="006416D8"/>
    <w:rsid w:val="006433CE"/>
    <w:rsid w:val="00646322"/>
    <w:rsid w:val="00646503"/>
    <w:rsid w:val="00646AC9"/>
    <w:rsid w:val="0064770D"/>
    <w:rsid w:val="0064796D"/>
    <w:rsid w:val="00650E88"/>
    <w:rsid w:val="0065347E"/>
    <w:rsid w:val="0065661B"/>
    <w:rsid w:val="006638DE"/>
    <w:rsid w:val="00673ED1"/>
    <w:rsid w:val="00676C6A"/>
    <w:rsid w:val="00680958"/>
    <w:rsid w:val="00682201"/>
    <w:rsid w:val="00682EA4"/>
    <w:rsid w:val="00684741"/>
    <w:rsid w:val="006853AE"/>
    <w:rsid w:val="00685BFF"/>
    <w:rsid w:val="00690D2C"/>
    <w:rsid w:val="00690E75"/>
    <w:rsid w:val="006972EB"/>
    <w:rsid w:val="006A02FD"/>
    <w:rsid w:val="006A1AB0"/>
    <w:rsid w:val="006A48A5"/>
    <w:rsid w:val="006A4A5E"/>
    <w:rsid w:val="006A4C95"/>
    <w:rsid w:val="006A5F60"/>
    <w:rsid w:val="006B5904"/>
    <w:rsid w:val="006C1F56"/>
    <w:rsid w:val="006D2A1D"/>
    <w:rsid w:val="006D3108"/>
    <w:rsid w:val="006D3CA5"/>
    <w:rsid w:val="006D71D6"/>
    <w:rsid w:val="006D7825"/>
    <w:rsid w:val="006E10F5"/>
    <w:rsid w:val="006E1B45"/>
    <w:rsid w:val="006E700A"/>
    <w:rsid w:val="006E70A7"/>
    <w:rsid w:val="006F0C04"/>
    <w:rsid w:val="006F5CA1"/>
    <w:rsid w:val="006F6EB4"/>
    <w:rsid w:val="006F7A12"/>
    <w:rsid w:val="006F7DD1"/>
    <w:rsid w:val="00703C7D"/>
    <w:rsid w:val="00705CCA"/>
    <w:rsid w:val="00711AB9"/>
    <w:rsid w:val="007127F1"/>
    <w:rsid w:val="00713A88"/>
    <w:rsid w:val="0071591E"/>
    <w:rsid w:val="007178D0"/>
    <w:rsid w:val="00720EB3"/>
    <w:rsid w:val="0072303F"/>
    <w:rsid w:val="0073370E"/>
    <w:rsid w:val="00734436"/>
    <w:rsid w:val="007362C6"/>
    <w:rsid w:val="007363EF"/>
    <w:rsid w:val="007364DF"/>
    <w:rsid w:val="00736D7D"/>
    <w:rsid w:val="00747324"/>
    <w:rsid w:val="00752B8C"/>
    <w:rsid w:val="00757326"/>
    <w:rsid w:val="007628F2"/>
    <w:rsid w:val="00763221"/>
    <w:rsid w:val="00764226"/>
    <w:rsid w:val="00773F8C"/>
    <w:rsid w:val="00774D01"/>
    <w:rsid w:val="00776459"/>
    <w:rsid w:val="00777766"/>
    <w:rsid w:val="007817D7"/>
    <w:rsid w:val="00781A2D"/>
    <w:rsid w:val="00782FDD"/>
    <w:rsid w:val="00783180"/>
    <w:rsid w:val="00783413"/>
    <w:rsid w:val="007847BA"/>
    <w:rsid w:val="007849D3"/>
    <w:rsid w:val="007902E2"/>
    <w:rsid w:val="00792F8F"/>
    <w:rsid w:val="007A2B98"/>
    <w:rsid w:val="007A5F5D"/>
    <w:rsid w:val="007A7892"/>
    <w:rsid w:val="007B013B"/>
    <w:rsid w:val="007B08E5"/>
    <w:rsid w:val="007B5938"/>
    <w:rsid w:val="007B6869"/>
    <w:rsid w:val="007B7472"/>
    <w:rsid w:val="007B76CB"/>
    <w:rsid w:val="007C00B6"/>
    <w:rsid w:val="007C190B"/>
    <w:rsid w:val="007C21F2"/>
    <w:rsid w:val="007C3C18"/>
    <w:rsid w:val="007C6265"/>
    <w:rsid w:val="007D0FEB"/>
    <w:rsid w:val="007D13E4"/>
    <w:rsid w:val="007D1846"/>
    <w:rsid w:val="007D59A9"/>
    <w:rsid w:val="007E4C19"/>
    <w:rsid w:val="007F034F"/>
    <w:rsid w:val="007F061F"/>
    <w:rsid w:val="007F21C7"/>
    <w:rsid w:val="007F52A8"/>
    <w:rsid w:val="007F5F98"/>
    <w:rsid w:val="007F62C9"/>
    <w:rsid w:val="007F6703"/>
    <w:rsid w:val="007F70A8"/>
    <w:rsid w:val="007F7511"/>
    <w:rsid w:val="00803FA4"/>
    <w:rsid w:val="008066F3"/>
    <w:rsid w:val="00810085"/>
    <w:rsid w:val="00811DC1"/>
    <w:rsid w:val="008128EE"/>
    <w:rsid w:val="008145C2"/>
    <w:rsid w:val="00817EFD"/>
    <w:rsid w:val="00820917"/>
    <w:rsid w:val="00820E6F"/>
    <w:rsid w:val="00821D20"/>
    <w:rsid w:val="00823912"/>
    <w:rsid w:val="00823A9D"/>
    <w:rsid w:val="00824C22"/>
    <w:rsid w:val="00832F9C"/>
    <w:rsid w:val="008401DC"/>
    <w:rsid w:val="0084163A"/>
    <w:rsid w:val="00851C0D"/>
    <w:rsid w:val="00857354"/>
    <w:rsid w:val="00860D58"/>
    <w:rsid w:val="00865F07"/>
    <w:rsid w:val="008663EF"/>
    <w:rsid w:val="00871F17"/>
    <w:rsid w:val="0087417C"/>
    <w:rsid w:val="008773F8"/>
    <w:rsid w:val="00882DD6"/>
    <w:rsid w:val="00886758"/>
    <w:rsid w:val="00887312"/>
    <w:rsid w:val="00887EE9"/>
    <w:rsid w:val="008953A2"/>
    <w:rsid w:val="008A254A"/>
    <w:rsid w:val="008A7BE1"/>
    <w:rsid w:val="008B0869"/>
    <w:rsid w:val="008B10D3"/>
    <w:rsid w:val="008B258F"/>
    <w:rsid w:val="008B26E6"/>
    <w:rsid w:val="008B2E55"/>
    <w:rsid w:val="008B4A00"/>
    <w:rsid w:val="008B6AF2"/>
    <w:rsid w:val="008B755A"/>
    <w:rsid w:val="008C033A"/>
    <w:rsid w:val="008C03D6"/>
    <w:rsid w:val="008C2279"/>
    <w:rsid w:val="008C27D9"/>
    <w:rsid w:val="008C3A2E"/>
    <w:rsid w:val="008C4EBC"/>
    <w:rsid w:val="008C6AAA"/>
    <w:rsid w:val="008C757D"/>
    <w:rsid w:val="008C7EC1"/>
    <w:rsid w:val="008D0373"/>
    <w:rsid w:val="008D26CD"/>
    <w:rsid w:val="008D2ADD"/>
    <w:rsid w:val="008D32A0"/>
    <w:rsid w:val="008D33D8"/>
    <w:rsid w:val="008D45EB"/>
    <w:rsid w:val="008D59EC"/>
    <w:rsid w:val="008D64AE"/>
    <w:rsid w:val="008D7FEB"/>
    <w:rsid w:val="008E3328"/>
    <w:rsid w:val="008E38CB"/>
    <w:rsid w:val="008E3CAC"/>
    <w:rsid w:val="008F030B"/>
    <w:rsid w:val="008F0A8B"/>
    <w:rsid w:val="008F30BB"/>
    <w:rsid w:val="008F3DD6"/>
    <w:rsid w:val="00900E2B"/>
    <w:rsid w:val="00901C9E"/>
    <w:rsid w:val="00903758"/>
    <w:rsid w:val="009048C0"/>
    <w:rsid w:val="00905495"/>
    <w:rsid w:val="009073CD"/>
    <w:rsid w:val="00914B58"/>
    <w:rsid w:val="00920028"/>
    <w:rsid w:val="009212FE"/>
    <w:rsid w:val="009254E5"/>
    <w:rsid w:val="00927E25"/>
    <w:rsid w:val="009330E8"/>
    <w:rsid w:val="00934470"/>
    <w:rsid w:val="00942D74"/>
    <w:rsid w:val="00943490"/>
    <w:rsid w:val="00947C34"/>
    <w:rsid w:val="00955B4D"/>
    <w:rsid w:val="0096304E"/>
    <w:rsid w:val="00963B1E"/>
    <w:rsid w:val="00964CD0"/>
    <w:rsid w:val="00971434"/>
    <w:rsid w:val="0097207C"/>
    <w:rsid w:val="00972448"/>
    <w:rsid w:val="00977645"/>
    <w:rsid w:val="009778DD"/>
    <w:rsid w:val="00980025"/>
    <w:rsid w:val="00995E6D"/>
    <w:rsid w:val="00997C78"/>
    <w:rsid w:val="009A0091"/>
    <w:rsid w:val="009A1D64"/>
    <w:rsid w:val="009A2671"/>
    <w:rsid w:val="009A375E"/>
    <w:rsid w:val="009A5FCA"/>
    <w:rsid w:val="009A7966"/>
    <w:rsid w:val="009B5167"/>
    <w:rsid w:val="009C1E24"/>
    <w:rsid w:val="009C3617"/>
    <w:rsid w:val="009C4057"/>
    <w:rsid w:val="009C5BF6"/>
    <w:rsid w:val="009D2D45"/>
    <w:rsid w:val="009E02A1"/>
    <w:rsid w:val="009E050E"/>
    <w:rsid w:val="009E287E"/>
    <w:rsid w:val="009E41DB"/>
    <w:rsid w:val="009E60C4"/>
    <w:rsid w:val="009E68A5"/>
    <w:rsid w:val="009F0182"/>
    <w:rsid w:val="00A0169C"/>
    <w:rsid w:val="00A057C5"/>
    <w:rsid w:val="00A06BA5"/>
    <w:rsid w:val="00A06FAC"/>
    <w:rsid w:val="00A10343"/>
    <w:rsid w:val="00A104C6"/>
    <w:rsid w:val="00A1090C"/>
    <w:rsid w:val="00A11219"/>
    <w:rsid w:val="00A113C3"/>
    <w:rsid w:val="00A13E57"/>
    <w:rsid w:val="00A143DD"/>
    <w:rsid w:val="00A146A1"/>
    <w:rsid w:val="00A16EDA"/>
    <w:rsid w:val="00A220C6"/>
    <w:rsid w:val="00A261AA"/>
    <w:rsid w:val="00A3020C"/>
    <w:rsid w:val="00A32EA6"/>
    <w:rsid w:val="00A33AA7"/>
    <w:rsid w:val="00A35470"/>
    <w:rsid w:val="00A35BD7"/>
    <w:rsid w:val="00A36C3A"/>
    <w:rsid w:val="00A3764E"/>
    <w:rsid w:val="00A42A4D"/>
    <w:rsid w:val="00A555D3"/>
    <w:rsid w:val="00A56DC4"/>
    <w:rsid w:val="00A6052D"/>
    <w:rsid w:val="00A6063F"/>
    <w:rsid w:val="00A613CB"/>
    <w:rsid w:val="00A61587"/>
    <w:rsid w:val="00A72DB9"/>
    <w:rsid w:val="00A73E11"/>
    <w:rsid w:val="00A74688"/>
    <w:rsid w:val="00A8099C"/>
    <w:rsid w:val="00A844DF"/>
    <w:rsid w:val="00A87CBF"/>
    <w:rsid w:val="00A93F84"/>
    <w:rsid w:val="00A94171"/>
    <w:rsid w:val="00A94357"/>
    <w:rsid w:val="00A95627"/>
    <w:rsid w:val="00A96497"/>
    <w:rsid w:val="00AA24AD"/>
    <w:rsid w:val="00AA26D0"/>
    <w:rsid w:val="00AA50C6"/>
    <w:rsid w:val="00AA5429"/>
    <w:rsid w:val="00AB0201"/>
    <w:rsid w:val="00AC1584"/>
    <w:rsid w:val="00AD0099"/>
    <w:rsid w:val="00AD0DFA"/>
    <w:rsid w:val="00AD4EDA"/>
    <w:rsid w:val="00AD7BFB"/>
    <w:rsid w:val="00AD7DAB"/>
    <w:rsid w:val="00AE04C0"/>
    <w:rsid w:val="00AE0C65"/>
    <w:rsid w:val="00AE2196"/>
    <w:rsid w:val="00AE21E8"/>
    <w:rsid w:val="00AE272C"/>
    <w:rsid w:val="00AE3053"/>
    <w:rsid w:val="00AE5027"/>
    <w:rsid w:val="00AE6418"/>
    <w:rsid w:val="00AE7151"/>
    <w:rsid w:val="00AF17F5"/>
    <w:rsid w:val="00AF2BA3"/>
    <w:rsid w:val="00AF35D3"/>
    <w:rsid w:val="00AF3C08"/>
    <w:rsid w:val="00AF579A"/>
    <w:rsid w:val="00B01AE8"/>
    <w:rsid w:val="00B044D6"/>
    <w:rsid w:val="00B053B6"/>
    <w:rsid w:val="00B0674F"/>
    <w:rsid w:val="00B06823"/>
    <w:rsid w:val="00B075F2"/>
    <w:rsid w:val="00B1119F"/>
    <w:rsid w:val="00B12DE4"/>
    <w:rsid w:val="00B13673"/>
    <w:rsid w:val="00B14867"/>
    <w:rsid w:val="00B156E7"/>
    <w:rsid w:val="00B2090A"/>
    <w:rsid w:val="00B21C39"/>
    <w:rsid w:val="00B2264F"/>
    <w:rsid w:val="00B255BE"/>
    <w:rsid w:val="00B30BA6"/>
    <w:rsid w:val="00B3317E"/>
    <w:rsid w:val="00B34C6D"/>
    <w:rsid w:val="00B35C84"/>
    <w:rsid w:val="00B35DF1"/>
    <w:rsid w:val="00B36895"/>
    <w:rsid w:val="00B36BF4"/>
    <w:rsid w:val="00B40C8D"/>
    <w:rsid w:val="00B42495"/>
    <w:rsid w:val="00B51228"/>
    <w:rsid w:val="00B55C3C"/>
    <w:rsid w:val="00B57EB4"/>
    <w:rsid w:val="00B608A6"/>
    <w:rsid w:val="00B63899"/>
    <w:rsid w:val="00B63C06"/>
    <w:rsid w:val="00B642AD"/>
    <w:rsid w:val="00B75315"/>
    <w:rsid w:val="00B76455"/>
    <w:rsid w:val="00B82950"/>
    <w:rsid w:val="00B83E84"/>
    <w:rsid w:val="00B904D4"/>
    <w:rsid w:val="00B90920"/>
    <w:rsid w:val="00B94A22"/>
    <w:rsid w:val="00B95626"/>
    <w:rsid w:val="00B96673"/>
    <w:rsid w:val="00B967F2"/>
    <w:rsid w:val="00BA1554"/>
    <w:rsid w:val="00BA50B0"/>
    <w:rsid w:val="00BA544D"/>
    <w:rsid w:val="00BA7439"/>
    <w:rsid w:val="00BB1A28"/>
    <w:rsid w:val="00BB4F1D"/>
    <w:rsid w:val="00BB7CCA"/>
    <w:rsid w:val="00BC44A2"/>
    <w:rsid w:val="00BD0A58"/>
    <w:rsid w:val="00BD5D76"/>
    <w:rsid w:val="00BD6898"/>
    <w:rsid w:val="00BE1F9C"/>
    <w:rsid w:val="00BE7C10"/>
    <w:rsid w:val="00BE7E3A"/>
    <w:rsid w:val="00BF004A"/>
    <w:rsid w:val="00BF021A"/>
    <w:rsid w:val="00BF025A"/>
    <w:rsid w:val="00BF4755"/>
    <w:rsid w:val="00BF61C8"/>
    <w:rsid w:val="00BF6370"/>
    <w:rsid w:val="00C03DD4"/>
    <w:rsid w:val="00C04424"/>
    <w:rsid w:val="00C06E38"/>
    <w:rsid w:val="00C15DAF"/>
    <w:rsid w:val="00C160CE"/>
    <w:rsid w:val="00C233C1"/>
    <w:rsid w:val="00C24671"/>
    <w:rsid w:val="00C247F3"/>
    <w:rsid w:val="00C3040B"/>
    <w:rsid w:val="00C35AB3"/>
    <w:rsid w:val="00C40C97"/>
    <w:rsid w:val="00C4491D"/>
    <w:rsid w:val="00C4611E"/>
    <w:rsid w:val="00C56152"/>
    <w:rsid w:val="00C65E5C"/>
    <w:rsid w:val="00C66F79"/>
    <w:rsid w:val="00C67932"/>
    <w:rsid w:val="00C70A72"/>
    <w:rsid w:val="00C71D96"/>
    <w:rsid w:val="00C778A6"/>
    <w:rsid w:val="00C80D3D"/>
    <w:rsid w:val="00C87447"/>
    <w:rsid w:val="00C87EF6"/>
    <w:rsid w:val="00C93C9B"/>
    <w:rsid w:val="00C965B9"/>
    <w:rsid w:val="00CA1DD9"/>
    <w:rsid w:val="00CA489A"/>
    <w:rsid w:val="00CA7728"/>
    <w:rsid w:val="00CD279A"/>
    <w:rsid w:val="00CD6472"/>
    <w:rsid w:val="00CD7183"/>
    <w:rsid w:val="00CD7830"/>
    <w:rsid w:val="00CE0CC9"/>
    <w:rsid w:val="00CE0EA0"/>
    <w:rsid w:val="00CE153F"/>
    <w:rsid w:val="00CE45C8"/>
    <w:rsid w:val="00CE4F8E"/>
    <w:rsid w:val="00CE7359"/>
    <w:rsid w:val="00CF2993"/>
    <w:rsid w:val="00CF3691"/>
    <w:rsid w:val="00CF48F4"/>
    <w:rsid w:val="00CF5F57"/>
    <w:rsid w:val="00CF719A"/>
    <w:rsid w:val="00D029B8"/>
    <w:rsid w:val="00D02D9C"/>
    <w:rsid w:val="00D03016"/>
    <w:rsid w:val="00D03D14"/>
    <w:rsid w:val="00D04201"/>
    <w:rsid w:val="00D06113"/>
    <w:rsid w:val="00D077E5"/>
    <w:rsid w:val="00D07CFB"/>
    <w:rsid w:val="00D07FD2"/>
    <w:rsid w:val="00D139C3"/>
    <w:rsid w:val="00D167E3"/>
    <w:rsid w:val="00D21A68"/>
    <w:rsid w:val="00D23A8E"/>
    <w:rsid w:val="00D245C7"/>
    <w:rsid w:val="00D31ECD"/>
    <w:rsid w:val="00D3252D"/>
    <w:rsid w:val="00D34475"/>
    <w:rsid w:val="00D34608"/>
    <w:rsid w:val="00D40598"/>
    <w:rsid w:val="00D40BE4"/>
    <w:rsid w:val="00D42D21"/>
    <w:rsid w:val="00D43AA5"/>
    <w:rsid w:val="00D4461A"/>
    <w:rsid w:val="00D47EF0"/>
    <w:rsid w:val="00D5302C"/>
    <w:rsid w:val="00D5544B"/>
    <w:rsid w:val="00D60F9F"/>
    <w:rsid w:val="00D61959"/>
    <w:rsid w:val="00D62BCA"/>
    <w:rsid w:val="00D6717E"/>
    <w:rsid w:val="00D67B21"/>
    <w:rsid w:val="00D67B86"/>
    <w:rsid w:val="00D80415"/>
    <w:rsid w:val="00D8075E"/>
    <w:rsid w:val="00D80D73"/>
    <w:rsid w:val="00D8199E"/>
    <w:rsid w:val="00D83567"/>
    <w:rsid w:val="00D843E4"/>
    <w:rsid w:val="00D8737B"/>
    <w:rsid w:val="00D93E43"/>
    <w:rsid w:val="00D96592"/>
    <w:rsid w:val="00DA41B2"/>
    <w:rsid w:val="00DA4F32"/>
    <w:rsid w:val="00DA5449"/>
    <w:rsid w:val="00DA55A6"/>
    <w:rsid w:val="00DA589C"/>
    <w:rsid w:val="00DB0285"/>
    <w:rsid w:val="00DB1D42"/>
    <w:rsid w:val="00DB3743"/>
    <w:rsid w:val="00DB5B7E"/>
    <w:rsid w:val="00DC030C"/>
    <w:rsid w:val="00DC287A"/>
    <w:rsid w:val="00DC2CB5"/>
    <w:rsid w:val="00DC6C79"/>
    <w:rsid w:val="00DC6F7D"/>
    <w:rsid w:val="00DD0107"/>
    <w:rsid w:val="00DD0651"/>
    <w:rsid w:val="00DD3409"/>
    <w:rsid w:val="00DD54D0"/>
    <w:rsid w:val="00DD695D"/>
    <w:rsid w:val="00DE058B"/>
    <w:rsid w:val="00DE2930"/>
    <w:rsid w:val="00DE301A"/>
    <w:rsid w:val="00DE7E2B"/>
    <w:rsid w:val="00DF00C6"/>
    <w:rsid w:val="00DF26B2"/>
    <w:rsid w:val="00DF45DB"/>
    <w:rsid w:val="00DF77C1"/>
    <w:rsid w:val="00E00FA0"/>
    <w:rsid w:val="00E01365"/>
    <w:rsid w:val="00E055F5"/>
    <w:rsid w:val="00E135E7"/>
    <w:rsid w:val="00E14CB5"/>
    <w:rsid w:val="00E1688A"/>
    <w:rsid w:val="00E215F4"/>
    <w:rsid w:val="00E22332"/>
    <w:rsid w:val="00E27F62"/>
    <w:rsid w:val="00E31137"/>
    <w:rsid w:val="00E324FB"/>
    <w:rsid w:val="00E32F06"/>
    <w:rsid w:val="00E3530A"/>
    <w:rsid w:val="00E35B04"/>
    <w:rsid w:val="00E36D1F"/>
    <w:rsid w:val="00E37DE1"/>
    <w:rsid w:val="00E51893"/>
    <w:rsid w:val="00E52323"/>
    <w:rsid w:val="00E52472"/>
    <w:rsid w:val="00E52CFF"/>
    <w:rsid w:val="00E5575B"/>
    <w:rsid w:val="00E55A08"/>
    <w:rsid w:val="00E57004"/>
    <w:rsid w:val="00E62C2D"/>
    <w:rsid w:val="00E62DB8"/>
    <w:rsid w:val="00E66619"/>
    <w:rsid w:val="00E67B05"/>
    <w:rsid w:val="00E77D13"/>
    <w:rsid w:val="00E82233"/>
    <w:rsid w:val="00E83337"/>
    <w:rsid w:val="00E8445C"/>
    <w:rsid w:val="00E8529B"/>
    <w:rsid w:val="00E855ED"/>
    <w:rsid w:val="00E8614D"/>
    <w:rsid w:val="00E872DB"/>
    <w:rsid w:val="00E9024F"/>
    <w:rsid w:val="00E925E0"/>
    <w:rsid w:val="00E97A4D"/>
    <w:rsid w:val="00EA0CBE"/>
    <w:rsid w:val="00EA3C90"/>
    <w:rsid w:val="00EA3F8A"/>
    <w:rsid w:val="00EA41B2"/>
    <w:rsid w:val="00EA740E"/>
    <w:rsid w:val="00EB067D"/>
    <w:rsid w:val="00EB493B"/>
    <w:rsid w:val="00EB57F5"/>
    <w:rsid w:val="00EB60B9"/>
    <w:rsid w:val="00EB7D26"/>
    <w:rsid w:val="00EC1BCF"/>
    <w:rsid w:val="00EC5193"/>
    <w:rsid w:val="00ED297D"/>
    <w:rsid w:val="00ED44DA"/>
    <w:rsid w:val="00ED72B0"/>
    <w:rsid w:val="00EF0E88"/>
    <w:rsid w:val="00EF1424"/>
    <w:rsid w:val="00F015E9"/>
    <w:rsid w:val="00F03CC7"/>
    <w:rsid w:val="00F06E8C"/>
    <w:rsid w:val="00F1076C"/>
    <w:rsid w:val="00F10A29"/>
    <w:rsid w:val="00F13F42"/>
    <w:rsid w:val="00F241AA"/>
    <w:rsid w:val="00F269B9"/>
    <w:rsid w:val="00F318F8"/>
    <w:rsid w:val="00F3400F"/>
    <w:rsid w:val="00F41D74"/>
    <w:rsid w:val="00F444BA"/>
    <w:rsid w:val="00F45E70"/>
    <w:rsid w:val="00F47BED"/>
    <w:rsid w:val="00F55E2B"/>
    <w:rsid w:val="00F604F5"/>
    <w:rsid w:val="00F60D8B"/>
    <w:rsid w:val="00F6154D"/>
    <w:rsid w:val="00F63512"/>
    <w:rsid w:val="00F6618B"/>
    <w:rsid w:val="00F67C5A"/>
    <w:rsid w:val="00F71D9E"/>
    <w:rsid w:val="00F7262B"/>
    <w:rsid w:val="00F77584"/>
    <w:rsid w:val="00F81368"/>
    <w:rsid w:val="00F83E34"/>
    <w:rsid w:val="00F841E0"/>
    <w:rsid w:val="00F862E9"/>
    <w:rsid w:val="00F91750"/>
    <w:rsid w:val="00FA2039"/>
    <w:rsid w:val="00FA3372"/>
    <w:rsid w:val="00FA3F91"/>
    <w:rsid w:val="00FA5838"/>
    <w:rsid w:val="00FA6C65"/>
    <w:rsid w:val="00FB18A2"/>
    <w:rsid w:val="00FB4941"/>
    <w:rsid w:val="00FB582C"/>
    <w:rsid w:val="00FB7689"/>
    <w:rsid w:val="00FB771E"/>
    <w:rsid w:val="00FB7C25"/>
    <w:rsid w:val="00FC10F5"/>
    <w:rsid w:val="00FC116B"/>
    <w:rsid w:val="00FC331E"/>
    <w:rsid w:val="00FC604E"/>
    <w:rsid w:val="00FC7AE9"/>
    <w:rsid w:val="00FD0F3F"/>
    <w:rsid w:val="00FD3FCC"/>
    <w:rsid w:val="00FD7991"/>
    <w:rsid w:val="00FE03D3"/>
    <w:rsid w:val="00FE0CEF"/>
    <w:rsid w:val="00FE26B1"/>
    <w:rsid w:val="00FE2D2B"/>
    <w:rsid w:val="00FE47ED"/>
    <w:rsid w:val="00FE75C9"/>
    <w:rsid w:val="00FF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8148"/>
  <w15:chartTrackingRefBased/>
  <w15:docId w15:val="{3482B810-6CC9-46A0-B7AA-2600519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4E"/>
    <w:pPr>
      <w:spacing w:after="160" w:line="259" w:lineRule="auto"/>
    </w:pPr>
    <w:rPr>
      <w:sz w:val="22"/>
      <w:szCs w:val="22"/>
      <w:lang w:eastAsia="en-US"/>
    </w:rPr>
  </w:style>
  <w:style w:type="paragraph" w:styleId="1">
    <w:name w:val="heading 1"/>
    <w:aliases w:val="Традиционны"/>
    <w:basedOn w:val="a"/>
    <w:next w:val="a"/>
    <w:link w:val="10"/>
    <w:uiPriority w:val="9"/>
    <w:qFormat/>
    <w:rsid w:val="005341C8"/>
    <w:pPr>
      <w:keepNext/>
      <w:spacing w:after="0" w:line="360" w:lineRule="auto"/>
      <w:outlineLvl w:val="0"/>
    </w:pPr>
    <w:rPr>
      <w:rFonts w:ascii="Times New Roman" w:eastAsia="Times New Roman" w:hAnsi="Times New Roman"/>
      <w:bCs/>
      <w:kern w:val="32"/>
      <w:sz w:val="24"/>
      <w:szCs w:val="24"/>
    </w:rPr>
  </w:style>
  <w:style w:type="paragraph" w:styleId="2">
    <w:name w:val="heading 2"/>
    <w:basedOn w:val="a"/>
    <w:next w:val="a"/>
    <w:link w:val="20"/>
    <w:uiPriority w:val="9"/>
    <w:semiHidden/>
    <w:unhideWhenUsed/>
    <w:qFormat/>
    <w:rsid w:val="00817EFD"/>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Головной 2!"/>
    <w:basedOn w:val="1"/>
    <w:link w:val="22"/>
    <w:qFormat/>
    <w:rsid w:val="000750B9"/>
    <w:pPr>
      <w:jc w:val="center"/>
    </w:pPr>
  </w:style>
  <w:style w:type="character" w:customStyle="1" w:styleId="22">
    <w:name w:val="Головной 2! Знак"/>
    <w:link w:val="21"/>
    <w:rsid w:val="000750B9"/>
    <w:rPr>
      <w:rFonts w:ascii="Times New Roman" w:eastAsia="Times New Roman" w:hAnsi="Times New Roman" w:cs="Times New Roman"/>
      <w:b w:val="0"/>
      <w:bCs/>
      <w:kern w:val="32"/>
      <w:sz w:val="24"/>
      <w:szCs w:val="24"/>
      <w:lang w:eastAsia="en-US"/>
    </w:rPr>
  </w:style>
  <w:style w:type="character" w:customStyle="1" w:styleId="10">
    <w:name w:val="Заголовок 1 Знак"/>
    <w:aliases w:val="Традиционны Знак"/>
    <w:link w:val="1"/>
    <w:uiPriority w:val="9"/>
    <w:rsid w:val="005341C8"/>
    <w:rPr>
      <w:rFonts w:ascii="Times New Roman" w:eastAsia="Times New Roman" w:hAnsi="Times New Roman"/>
      <w:bCs/>
      <w:kern w:val="32"/>
      <w:sz w:val="24"/>
      <w:szCs w:val="24"/>
      <w:lang w:eastAsia="en-US"/>
    </w:rPr>
  </w:style>
  <w:style w:type="paragraph" w:customStyle="1" w:styleId="111">
    <w:name w:val="Стиль111"/>
    <w:basedOn w:val="1"/>
    <w:link w:val="1110"/>
    <w:qFormat/>
    <w:rsid w:val="009073CD"/>
    <w:rPr>
      <w:rFonts w:ascii="Calibri Light" w:hAnsi="Calibri Light"/>
      <w:color w:val="5B9BD5"/>
    </w:rPr>
  </w:style>
  <w:style w:type="character" w:customStyle="1" w:styleId="1110">
    <w:name w:val="Стиль111 Знак"/>
    <w:link w:val="111"/>
    <w:rsid w:val="009073CD"/>
    <w:rPr>
      <w:rFonts w:ascii="Calibri Light" w:eastAsia="Times New Roman" w:hAnsi="Calibri Light" w:cs="Times New Roman"/>
      <w:b w:val="0"/>
      <w:bCs/>
      <w:color w:val="5B9BD5"/>
      <w:kern w:val="32"/>
      <w:sz w:val="32"/>
      <w:szCs w:val="32"/>
      <w:lang w:eastAsia="en-US"/>
    </w:rPr>
  </w:style>
  <w:style w:type="paragraph" w:customStyle="1" w:styleId="a3">
    <w:name w:val="КЛАССика"/>
    <w:basedOn w:val="2"/>
    <w:link w:val="a4"/>
    <w:qFormat/>
    <w:rsid w:val="00817EFD"/>
    <w:pPr>
      <w:keepLines w:val="0"/>
      <w:spacing w:before="0" w:line="360" w:lineRule="auto"/>
      <w:jc w:val="center"/>
    </w:pPr>
    <w:rPr>
      <w:rFonts w:ascii="Times New Roman" w:hAnsi="Times New Roman" w:cs="Arial"/>
      <w:color w:val="auto"/>
      <w:sz w:val="28"/>
      <w:szCs w:val="28"/>
      <w:lang w:eastAsia="ru-RU"/>
    </w:rPr>
  </w:style>
  <w:style w:type="character" w:customStyle="1" w:styleId="a4">
    <w:name w:val="КЛАССика Знак"/>
    <w:link w:val="a3"/>
    <w:rsid w:val="00817EFD"/>
    <w:rPr>
      <w:rFonts w:ascii="Times New Roman" w:eastAsia="Times New Roman" w:hAnsi="Times New Roman" w:cs="Arial"/>
      <w:sz w:val="28"/>
      <w:szCs w:val="28"/>
    </w:rPr>
  </w:style>
  <w:style w:type="character" w:customStyle="1" w:styleId="20">
    <w:name w:val="Заголовок 2 Знак"/>
    <w:link w:val="2"/>
    <w:uiPriority w:val="9"/>
    <w:semiHidden/>
    <w:rsid w:val="00817EFD"/>
    <w:rPr>
      <w:rFonts w:ascii="Calibri Light" w:eastAsia="Times New Roman" w:hAnsi="Calibri Light" w:cs="Times New Roman"/>
      <w:color w:val="2E74B5"/>
      <w:sz w:val="26"/>
      <w:szCs w:val="26"/>
      <w:lang w:eastAsia="en-US"/>
    </w:rPr>
  </w:style>
  <w:style w:type="paragraph" w:customStyle="1" w:styleId="10-4-17">
    <w:name w:val="10-4-17!"/>
    <w:basedOn w:val="1"/>
    <w:link w:val="10-4-170"/>
    <w:qFormat/>
    <w:rsid w:val="0039309A"/>
    <w:pPr>
      <w:jc w:val="center"/>
    </w:pPr>
  </w:style>
  <w:style w:type="character" w:customStyle="1" w:styleId="10-4-170">
    <w:name w:val="10-4-17! Знак"/>
    <w:link w:val="10-4-17"/>
    <w:rsid w:val="0039309A"/>
    <w:rPr>
      <w:rFonts w:ascii="Times New Roman" w:eastAsia="Times New Roman" w:hAnsi="Times New Roman"/>
      <w:bCs/>
      <w:kern w:val="32"/>
      <w:sz w:val="24"/>
      <w:szCs w:val="24"/>
      <w:lang w:eastAsia="en-US"/>
    </w:rPr>
  </w:style>
  <w:style w:type="paragraph" w:customStyle="1" w:styleId="AriaL">
    <w:name w:val="AriaL"/>
    <w:basedOn w:val="1"/>
    <w:link w:val="AriaL0"/>
    <w:autoRedefine/>
    <w:qFormat/>
    <w:rsid w:val="00C160CE"/>
    <w:pPr>
      <w:jc w:val="center"/>
    </w:pPr>
    <w:rPr>
      <w:rFonts w:ascii="Arial" w:hAnsi="Arial"/>
      <w:b/>
      <w:sz w:val="28"/>
    </w:rPr>
  </w:style>
  <w:style w:type="character" w:customStyle="1" w:styleId="AriaL0">
    <w:name w:val="AriaL Знак"/>
    <w:link w:val="AriaL"/>
    <w:rsid w:val="00C160CE"/>
    <w:rPr>
      <w:rFonts w:ascii="Arial" w:eastAsia="Times New Roman" w:hAnsi="Arial"/>
      <w:b/>
      <w:bCs/>
      <w:kern w:val="32"/>
      <w:sz w:val="28"/>
      <w:szCs w:val="24"/>
      <w:lang w:eastAsia="en-US"/>
    </w:rPr>
  </w:style>
  <w:style w:type="paragraph" w:styleId="a5">
    <w:name w:val="header"/>
    <w:basedOn w:val="a"/>
    <w:link w:val="a6"/>
    <w:uiPriority w:val="99"/>
    <w:unhideWhenUsed/>
    <w:rsid w:val="00E77D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D13"/>
    <w:rPr>
      <w:sz w:val="22"/>
      <w:szCs w:val="22"/>
      <w:lang w:eastAsia="en-US"/>
    </w:rPr>
  </w:style>
  <w:style w:type="paragraph" w:styleId="a7">
    <w:name w:val="footer"/>
    <w:basedOn w:val="a"/>
    <w:link w:val="a8"/>
    <w:uiPriority w:val="99"/>
    <w:unhideWhenUsed/>
    <w:rsid w:val="00E77D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7D13"/>
    <w:rPr>
      <w:sz w:val="22"/>
      <w:szCs w:val="22"/>
      <w:lang w:eastAsia="en-US"/>
    </w:rPr>
  </w:style>
  <w:style w:type="paragraph" w:styleId="a9">
    <w:name w:val="footnote text"/>
    <w:aliases w:val="Текст сноски Знак Знак,Footnote,Fußnote,FSR footnote,lábléc,Footnote Text Char1 Char,Footnote Text Char Char Char,Footnote Text Char2 Char Char Char,Footnote Text Char1 Char Char Char Char,Footnote Text Char Char Char Char Char Char,Plonk"/>
    <w:basedOn w:val="a"/>
    <w:link w:val="aa"/>
    <w:uiPriority w:val="99"/>
    <w:unhideWhenUsed/>
    <w:rsid w:val="0046440E"/>
    <w:pPr>
      <w:spacing w:after="0" w:line="240" w:lineRule="auto"/>
    </w:pPr>
    <w:rPr>
      <w:sz w:val="20"/>
      <w:szCs w:val="20"/>
    </w:rPr>
  </w:style>
  <w:style w:type="character" w:customStyle="1" w:styleId="aa">
    <w:name w:val="Текст сноски Знак"/>
    <w:aliases w:val="Текст сноски Знак Знак Знак,Footnote Знак,Fußnote Знак,FSR footnote Знак,lábléc Знак,Footnote Text Char1 Char Знак,Footnote Text Char Char Char Знак,Footnote Text Char2 Char Char Char Знак,Footnote Text Char1 Char Char Char Char Знак"/>
    <w:basedOn w:val="a0"/>
    <w:link w:val="a9"/>
    <w:uiPriority w:val="99"/>
    <w:rsid w:val="0046440E"/>
    <w:rPr>
      <w:lang w:eastAsia="en-US"/>
    </w:rPr>
  </w:style>
  <w:style w:type="character" w:styleId="ab">
    <w:name w:val="footnote reference"/>
    <w:basedOn w:val="a0"/>
    <w:uiPriority w:val="99"/>
    <w:unhideWhenUsed/>
    <w:rsid w:val="0046440E"/>
    <w:rPr>
      <w:vertAlign w:val="superscript"/>
    </w:rPr>
  </w:style>
  <w:style w:type="table" w:styleId="ac">
    <w:name w:val="Table Grid"/>
    <w:basedOn w:val="a1"/>
    <w:uiPriority w:val="39"/>
    <w:rsid w:val="00DE7E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64226"/>
    <w:rPr>
      <w:color w:val="0563C1" w:themeColor="hyperlink"/>
      <w:u w:val="single"/>
    </w:rPr>
  </w:style>
  <w:style w:type="paragraph" w:styleId="ae">
    <w:name w:val="List Paragraph"/>
    <w:basedOn w:val="a"/>
    <w:uiPriority w:val="34"/>
    <w:qFormat/>
    <w:rsid w:val="008C7EC1"/>
    <w:pPr>
      <w:ind w:left="720"/>
      <w:contextualSpacing/>
    </w:pPr>
  </w:style>
  <w:style w:type="table" w:customStyle="1" w:styleId="135">
    <w:name w:val="Сетка таблицы135"/>
    <w:basedOn w:val="a1"/>
    <w:next w:val="ac"/>
    <w:uiPriority w:val="39"/>
    <w:rsid w:val="00E902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145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8117">
      <w:bodyDiv w:val="1"/>
      <w:marLeft w:val="0"/>
      <w:marRight w:val="0"/>
      <w:marTop w:val="0"/>
      <w:marBottom w:val="0"/>
      <w:divBdr>
        <w:top w:val="none" w:sz="0" w:space="0" w:color="auto"/>
        <w:left w:val="none" w:sz="0" w:space="0" w:color="auto"/>
        <w:bottom w:val="none" w:sz="0" w:space="0" w:color="auto"/>
        <w:right w:val="none" w:sz="0" w:space="0" w:color="auto"/>
      </w:divBdr>
    </w:div>
    <w:div w:id="701710105">
      <w:bodyDiv w:val="1"/>
      <w:marLeft w:val="0"/>
      <w:marRight w:val="0"/>
      <w:marTop w:val="0"/>
      <w:marBottom w:val="0"/>
      <w:divBdr>
        <w:top w:val="none" w:sz="0" w:space="0" w:color="auto"/>
        <w:left w:val="none" w:sz="0" w:space="0" w:color="auto"/>
        <w:bottom w:val="none" w:sz="0" w:space="0" w:color="auto"/>
        <w:right w:val="none" w:sz="0" w:space="0" w:color="auto"/>
      </w:divBdr>
    </w:div>
    <w:div w:id="802507585">
      <w:bodyDiv w:val="1"/>
      <w:marLeft w:val="0"/>
      <w:marRight w:val="0"/>
      <w:marTop w:val="0"/>
      <w:marBottom w:val="0"/>
      <w:divBdr>
        <w:top w:val="none" w:sz="0" w:space="0" w:color="auto"/>
        <w:left w:val="none" w:sz="0" w:space="0" w:color="auto"/>
        <w:bottom w:val="none" w:sz="0" w:space="0" w:color="auto"/>
        <w:right w:val="none" w:sz="0" w:space="0" w:color="auto"/>
      </w:divBdr>
    </w:div>
    <w:div w:id="1416436716">
      <w:bodyDiv w:val="1"/>
      <w:marLeft w:val="0"/>
      <w:marRight w:val="0"/>
      <w:marTop w:val="0"/>
      <w:marBottom w:val="0"/>
      <w:divBdr>
        <w:top w:val="none" w:sz="0" w:space="0" w:color="auto"/>
        <w:left w:val="none" w:sz="0" w:space="0" w:color="auto"/>
        <w:bottom w:val="none" w:sz="0" w:space="0" w:color="auto"/>
        <w:right w:val="none" w:sz="0" w:space="0" w:color="auto"/>
      </w:divBdr>
    </w:div>
    <w:div w:id="1550259652">
      <w:bodyDiv w:val="1"/>
      <w:marLeft w:val="0"/>
      <w:marRight w:val="0"/>
      <w:marTop w:val="0"/>
      <w:marBottom w:val="0"/>
      <w:divBdr>
        <w:top w:val="none" w:sz="0" w:space="0" w:color="auto"/>
        <w:left w:val="none" w:sz="0" w:space="0" w:color="auto"/>
        <w:bottom w:val="none" w:sz="0" w:space="0" w:color="auto"/>
        <w:right w:val="none" w:sz="0" w:space="0" w:color="auto"/>
      </w:divBdr>
    </w:div>
    <w:div w:id="1596018592">
      <w:bodyDiv w:val="1"/>
      <w:marLeft w:val="0"/>
      <w:marRight w:val="0"/>
      <w:marTop w:val="0"/>
      <w:marBottom w:val="0"/>
      <w:divBdr>
        <w:top w:val="none" w:sz="0" w:space="0" w:color="auto"/>
        <w:left w:val="none" w:sz="0" w:space="0" w:color="auto"/>
        <w:bottom w:val="none" w:sz="0" w:space="0" w:color="auto"/>
        <w:right w:val="none" w:sz="0" w:space="0" w:color="auto"/>
      </w:divBdr>
    </w:div>
    <w:div w:id="1895891538">
      <w:bodyDiv w:val="1"/>
      <w:marLeft w:val="0"/>
      <w:marRight w:val="0"/>
      <w:marTop w:val="0"/>
      <w:marBottom w:val="0"/>
      <w:divBdr>
        <w:top w:val="none" w:sz="0" w:space="0" w:color="auto"/>
        <w:left w:val="none" w:sz="0" w:space="0" w:color="auto"/>
        <w:bottom w:val="none" w:sz="0" w:space="0" w:color="auto"/>
        <w:right w:val="none" w:sz="0" w:space="0" w:color="auto"/>
      </w:divBdr>
    </w:div>
    <w:div w:id="21298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Doc3.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39735789265931E-2"/>
          <c:y val="4.2328035915505123E-2"/>
          <c:w val="0.70867896460751034"/>
          <c:h val="0.8621950317134276"/>
        </c:manualLayout>
      </c:layout>
      <c:barChart>
        <c:barDir val="col"/>
        <c:grouping val="stacked"/>
        <c:varyColors val="0"/>
        <c:ser>
          <c:idx val="2"/>
          <c:order val="0"/>
          <c:tx>
            <c:strRef>
              <c:f>Лист1!$C$1</c:f>
              <c:strCache>
                <c:ptCount val="1"/>
                <c:pt idx="0">
                  <c:v>Equalizing grants</c:v>
                </c:pt>
              </c:strCache>
            </c:strRef>
          </c:tx>
          <c:spPr>
            <a:solidFill>
              <a:srgbClr val="C00000"/>
            </a:solidFill>
            <a:ln w="9525">
              <a:solidFill>
                <a:sysClr val="windowText" lastClr="000000"/>
              </a:solidFill>
              <a:prstDash val="solid"/>
            </a:ln>
            <a:effectLst/>
          </c:spPr>
          <c:invertIfNegative val="0"/>
          <c:cat>
            <c:multiLvlStrRef>
              <c:f>Лист1!$A$2:$B$11</c:f>
              <c:multiLvlStrCache>
                <c:ptCount val="10"/>
                <c:lvl>
                  <c:pt idx="0">
                    <c:v>2011-19</c:v>
                  </c:pt>
                  <c:pt idx="1">
                    <c:v>2020</c:v>
                  </c:pt>
                  <c:pt idx="2">
                    <c:v>2011-19</c:v>
                  </c:pt>
                  <c:pt idx="3">
                    <c:v>2020</c:v>
                  </c:pt>
                  <c:pt idx="4">
                    <c:v>2011-19</c:v>
                  </c:pt>
                  <c:pt idx="5">
                    <c:v>2020</c:v>
                  </c:pt>
                  <c:pt idx="6">
                    <c:v>2011-19</c:v>
                  </c:pt>
                  <c:pt idx="7">
                    <c:v>2020</c:v>
                  </c:pt>
                  <c:pt idx="8">
                    <c:v>2011-19</c:v>
                  </c:pt>
                  <c:pt idx="9">
                    <c:v>2020</c:v>
                  </c:pt>
                </c:lvl>
                <c:lvl>
                  <c:pt idx="0">
                    <c:v>"ААА" (except Moscow and St. Petersburg)</c:v>
                  </c:pt>
                  <c:pt idx="2">
                    <c:v>"АА"</c:v>
                  </c:pt>
                  <c:pt idx="4">
                    <c:v>"А"</c:v>
                  </c:pt>
                  <c:pt idx="6">
                    <c:v>"BBB"</c:v>
                  </c:pt>
                  <c:pt idx="8">
                    <c:v>Without ACRA credit rating</c:v>
                  </c:pt>
                </c:lvl>
              </c:multiLvlStrCache>
            </c:multiLvlStrRef>
          </c:cat>
          <c:val>
            <c:numRef>
              <c:f>Лист1!$C$2:$C$11</c:f>
              <c:numCache>
                <c:formatCode>0.0</c:formatCode>
                <c:ptCount val="10"/>
                <c:pt idx="0">
                  <c:v>2.3453473857782521E-2</c:v>
                </c:pt>
                <c:pt idx="1">
                  <c:v>0</c:v>
                </c:pt>
                <c:pt idx="2">
                  <c:v>0.84159721387397046</c:v>
                </c:pt>
                <c:pt idx="3">
                  <c:v>0.91398478887923162</c:v>
                </c:pt>
                <c:pt idx="4">
                  <c:v>2.4993003448831428</c:v>
                </c:pt>
                <c:pt idx="5">
                  <c:v>2.8049040379731891</c:v>
                </c:pt>
                <c:pt idx="6">
                  <c:v>5.4056790283200016</c:v>
                </c:pt>
                <c:pt idx="7">
                  <c:v>4.8893508226663309</c:v>
                </c:pt>
                <c:pt idx="8">
                  <c:v>6.6006156372226643</c:v>
                </c:pt>
                <c:pt idx="9">
                  <c:v>7.4320369252440273</c:v>
                </c:pt>
              </c:numCache>
            </c:numRef>
          </c:val>
          <c:extLst>
            <c:ext xmlns:c16="http://schemas.microsoft.com/office/drawing/2014/chart" uri="{C3380CC4-5D6E-409C-BE32-E72D297353CC}">
              <c16:uniqueId val="{00000000-8C22-404D-8679-2844EF4B0913}"/>
            </c:ext>
          </c:extLst>
        </c:ser>
        <c:ser>
          <c:idx val="4"/>
          <c:order val="1"/>
          <c:tx>
            <c:strRef>
              <c:f>Лист1!$D$1</c:f>
              <c:strCache>
                <c:ptCount val="1"/>
                <c:pt idx="0">
                  <c:v>Balancing grants</c:v>
                </c:pt>
              </c:strCache>
            </c:strRef>
          </c:tx>
          <c:spPr>
            <a:solidFill>
              <a:srgbClr val="FFFF00"/>
            </a:solidFill>
            <a:ln cmpd="sng">
              <a:solidFill>
                <a:sysClr val="windowText" lastClr="000000"/>
              </a:solidFill>
            </a:ln>
            <a:effectLst/>
          </c:spPr>
          <c:invertIfNegative val="0"/>
          <c:cat>
            <c:multiLvlStrRef>
              <c:f>Лист1!$A$2:$B$11</c:f>
              <c:multiLvlStrCache>
                <c:ptCount val="10"/>
                <c:lvl>
                  <c:pt idx="0">
                    <c:v>2011-19</c:v>
                  </c:pt>
                  <c:pt idx="1">
                    <c:v>2020</c:v>
                  </c:pt>
                  <c:pt idx="2">
                    <c:v>2011-19</c:v>
                  </c:pt>
                  <c:pt idx="3">
                    <c:v>2020</c:v>
                  </c:pt>
                  <c:pt idx="4">
                    <c:v>2011-19</c:v>
                  </c:pt>
                  <c:pt idx="5">
                    <c:v>2020</c:v>
                  </c:pt>
                  <c:pt idx="6">
                    <c:v>2011-19</c:v>
                  </c:pt>
                  <c:pt idx="7">
                    <c:v>2020</c:v>
                  </c:pt>
                  <c:pt idx="8">
                    <c:v>2011-19</c:v>
                  </c:pt>
                  <c:pt idx="9">
                    <c:v>2020</c:v>
                  </c:pt>
                </c:lvl>
                <c:lvl>
                  <c:pt idx="0">
                    <c:v>"ААА" (except Moscow and St. Petersburg)</c:v>
                  </c:pt>
                  <c:pt idx="2">
                    <c:v>"АА"</c:v>
                  </c:pt>
                  <c:pt idx="4">
                    <c:v>"А"</c:v>
                  </c:pt>
                  <c:pt idx="6">
                    <c:v>"BBB"</c:v>
                  </c:pt>
                  <c:pt idx="8">
                    <c:v>Without ACRA credit rating</c:v>
                  </c:pt>
                </c:lvl>
              </c:multiLvlStrCache>
            </c:multiLvlStrRef>
          </c:cat>
          <c:val>
            <c:numRef>
              <c:f>Лист1!$D$2:$D$11</c:f>
              <c:numCache>
                <c:formatCode>0.0</c:formatCode>
                <c:ptCount val="10"/>
                <c:pt idx="0">
                  <c:v>1.3740511340807926</c:v>
                </c:pt>
                <c:pt idx="1">
                  <c:v>2.2587884026347407</c:v>
                </c:pt>
                <c:pt idx="2">
                  <c:v>0.81487112257736927</c:v>
                </c:pt>
                <c:pt idx="3">
                  <c:v>2.1349397217798427</c:v>
                </c:pt>
                <c:pt idx="4">
                  <c:v>0.70093135308918564</c:v>
                </c:pt>
                <c:pt idx="5">
                  <c:v>2.7807489266415968</c:v>
                </c:pt>
                <c:pt idx="6">
                  <c:v>0.96146417866670708</c:v>
                </c:pt>
                <c:pt idx="7">
                  <c:v>2.8503896285145838</c:v>
                </c:pt>
                <c:pt idx="8">
                  <c:v>1.4892258923722042</c:v>
                </c:pt>
                <c:pt idx="9">
                  <c:v>2.0125512803492454</c:v>
                </c:pt>
              </c:numCache>
            </c:numRef>
          </c:val>
          <c:extLst>
            <c:ext xmlns:c16="http://schemas.microsoft.com/office/drawing/2014/chart" uri="{C3380CC4-5D6E-409C-BE32-E72D297353CC}">
              <c16:uniqueId val="{00000001-8C22-404D-8679-2844EF4B0913}"/>
            </c:ext>
          </c:extLst>
        </c:ser>
        <c:ser>
          <c:idx val="5"/>
          <c:order val="2"/>
          <c:tx>
            <c:strRef>
              <c:f>Лист1!$E$1</c:f>
              <c:strCache>
                <c:ptCount val="1"/>
                <c:pt idx="0">
                  <c:v>Subsidies and Other intergovernmental transfers</c:v>
                </c:pt>
              </c:strCache>
            </c:strRef>
          </c:tx>
          <c:spPr>
            <a:solidFill>
              <a:srgbClr val="00B0F0"/>
            </a:solidFill>
            <a:ln w="9525">
              <a:solidFill>
                <a:sysClr val="windowText" lastClr="000000"/>
              </a:solidFill>
            </a:ln>
            <a:effectLst/>
          </c:spPr>
          <c:invertIfNegative val="0"/>
          <c:cat>
            <c:multiLvlStrRef>
              <c:f>Лист1!$A$2:$B$11</c:f>
              <c:multiLvlStrCache>
                <c:ptCount val="10"/>
                <c:lvl>
                  <c:pt idx="0">
                    <c:v>2011-19</c:v>
                  </c:pt>
                  <c:pt idx="1">
                    <c:v>2020</c:v>
                  </c:pt>
                  <c:pt idx="2">
                    <c:v>2011-19</c:v>
                  </c:pt>
                  <c:pt idx="3">
                    <c:v>2020</c:v>
                  </c:pt>
                  <c:pt idx="4">
                    <c:v>2011-19</c:v>
                  </c:pt>
                  <c:pt idx="5">
                    <c:v>2020</c:v>
                  </c:pt>
                  <c:pt idx="6">
                    <c:v>2011-19</c:v>
                  </c:pt>
                  <c:pt idx="7">
                    <c:v>2020</c:v>
                  </c:pt>
                  <c:pt idx="8">
                    <c:v>2011-19</c:v>
                  </c:pt>
                  <c:pt idx="9">
                    <c:v>2020</c:v>
                  </c:pt>
                </c:lvl>
                <c:lvl>
                  <c:pt idx="0">
                    <c:v>"ААА" (except Moscow and St. Petersburg)</c:v>
                  </c:pt>
                  <c:pt idx="2">
                    <c:v>"АА"</c:v>
                  </c:pt>
                  <c:pt idx="4">
                    <c:v>"А"</c:v>
                  </c:pt>
                  <c:pt idx="6">
                    <c:v>"BBB"</c:v>
                  </c:pt>
                  <c:pt idx="8">
                    <c:v>Without ACRA credit rating</c:v>
                  </c:pt>
                </c:lvl>
              </c:multiLvlStrCache>
            </c:multiLvlStrRef>
          </c:cat>
          <c:val>
            <c:numRef>
              <c:f>Лист1!$E$2:$E$11</c:f>
              <c:numCache>
                <c:formatCode>0.0</c:formatCode>
                <c:ptCount val="10"/>
                <c:pt idx="0">
                  <c:v>4.9826721593594021</c:v>
                </c:pt>
                <c:pt idx="1">
                  <c:v>8.5669420039021116</c:v>
                </c:pt>
                <c:pt idx="2">
                  <c:v>5.8412966628886549</c:v>
                </c:pt>
                <c:pt idx="3">
                  <c:v>9.8365737019822461</c:v>
                </c:pt>
                <c:pt idx="4">
                  <c:v>4.3866768249319747</c:v>
                </c:pt>
                <c:pt idx="5">
                  <c:v>9.3418330407076589</c:v>
                </c:pt>
                <c:pt idx="6">
                  <c:v>6.9827548898372731</c:v>
                </c:pt>
                <c:pt idx="7">
                  <c:v>12.63001843096194</c:v>
                </c:pt>
                <c:pt idx="8">
                  <c:v>6.4873823492024121</c:v>
                </c:pt>
                <c:pt idx="9">
                  <c:v>14.276252639199305</c:v>
                </c:pt>
              </c:numCache>
            </c:numRef>
          </c:val>
          <c:extLst>
            <c:ext xmlns:c16="http://schemas.microsoft.com/office/drawing/2014/chart" uri="{C3380CC4-5D6E-409C-BE32-E72D297353CC}">
              <c16:uniqueId val="{00000002-8C22-404D-8679-2844EF4B0913}"/>
            </c:ext>
          </c:extLst>
        </c:ser>
        <c:ser>
          <c:idx val="3"/>
          <c:order val="3"/>
          <c:tx>
            <c:strRef>
              <c:f>Лист1!$F$1</c:f>
              <c:strCache>
                <c:ptCount val="1"/>
                <c:pt idx="0">
                  <c:v>Equalizing grants (outgoing)</c:v>
                </c:pt>
              </c:strCache>
            </c:strRef>
          </c:tx>
          <c:spPr>
            <a:solidFill>
              <a:srgbClr val="C00000"/>
            </a:solidFill>
            <a:ln>
              <a:solidFill>
                <a:sysClr val="windowText" lastClr="000000"/>
              </a:solidFill>
            </a:ln>
            <a:effectLst/>
          </c:spPr>
          <c:invertIfNegative val="0"/>
          <c:cat>
            <c:multiLvlStrRef>
              <c:f>Лист1!$A$2:$B$11</c:f>
              <c:multiLvlStrCache>
                <c:ptCount val="10"/>
                <c:lvl>
                  <c:pt idx="0">
                    <c:v>2011-19</c:v>
                  </c:pt>
                  <c:pt idx="1">
                    <c:v>2020</c:v>
                  </c:pt>
                  <c:pt idx="2">
                    <c:v>2011-19</c:v>
                  </c:pt>
                  <c:pt idx="3">
                    <c:v>2020</c:v>
                  </c:pt>
                  <c:pt idx="4">
                    <c:v>2011-19</c:v>
                  </c:pt>
                  <c:pt idx="5">
                    <c:v>2020</c:v>
                  </c:pt>
                  <c:pt idx="6">
                    <c:v>2011-19</c:v>
                  </c:pt>
                  <c:pt idx="7">
                    <c:v>2020</c:v>
                  </c:pt>
                  <c:pt idx="8">
                    <c:v>2011-19</c:v>
                  </c:pt>
                  <c:pt idx="9">
                    <c:v>2020</c:v>
                  </c:pt>
                </c:lvl>
                <c:lvl>
                  <c:pt idx="0">
                    <c:v>"ААА" (except Moscow and St. Petersburg)</c:v>
                  </c:pt>
                  <c:pt idx="2">
                    <c:v>"АА"</c:v>
                  </c:pt>
                  <c:pt idx="4">
                    <c:v>"А"</c:v>
                  </c:pt>
                  <c:pt idx="6">
                    <c:v>"BBB"</c:v>
                  </c:pt>
                  <c:pt idx="8">
                    <c:v>Without ACRA credit rating</c:v>
                  </c:pt>
                </c:lvl>
              </c:multiLvlStrCache>
            </c:multiLvlStrRef>
          </c:cat>
          <c:val>
            <c:numRef>
              <c:f>Лист1!$F$2:$F$11</c:f>
              <c:numCache>
                <c:formatCode>0.0</c:formatCode>
                <c:ptCount val="10"/>
                <c:pt idx="0">
                  <c:v>-3.0826734198086321</c:v>
                </c:pt>
                <c:pt idx="1">
                  <c:v>-5.1334799419431842</c:v>
                </c:pt>
                <c:pt idx="2">
                  <c:v>-1.2160769936176088</c:v>
                </c:pt>
                <c:pt idx="3">
                  <c:v>-1.5505087819552201</c:v>
                </c:pt>
                <c:pt idx="4">
                  <c:v>-2.2611805018380275</c:v>
                </c:pt>
                <c:pt idx="5">
                  <c:v>-3.3419125624753758</c:v>
                </c:pt>
                <c:pt idx="6">
                  <c:v>-1.4270325731312792</c:v>
                </c:pt>
                <c:pt idx="7">
                  <c:v>-1.5016352490305802</c:v>
                </c:pt>
                <c:pt idx="8">
                  <c:v>-1.698439737674827</c:v>
                </c:pt>
                <c:pt idx="9">
                  <c:v>-1.9329096635691085</c:v>
                </c:pt>
              </c:numCache>
            </c:numRef>
          </c:val>
          <c:extLst>
            <c:ext xmlns:c16="http://schemas.microsoft.com/office/drawing/2014/chart" uri="{C3380CC4-5D6E-409C-BE32-E72D297353CC}">
              <c16:uniqueId val="{00000003-8C22-404D-8679-2844EF4B0913}"/>
            </c:ext>
          </c:extLst>
        </c:ser>
        <c:ser>
          <c:idx val="6"/>
          <c:order val="4"/>
          <c:tx>
            <c:strRef>
              <c:f>Лист1!$G$1</c:f>
              <c:strCache>
                <c:ptCount val="1"/>
                <c:pt idx="0">
                  <c:v>Balancing grants (outgoing)</c:v>
                </c:pt>
              </c:strCache>
            </c:strRef>
          </c:tx>
          <c:spPr>
            <a:solidFill>
              <a:srgbClr val="FFFF00"/>
            </a:solidFill>
            <a:ln>
              <a:solidFill>
                <a:sysClr val="windowText" lastClr="000000"/>
              </a:solidFill>
            </a:ln>
            <a:effectLst/>
          </c:spPr>
          <c:invertIfNegative val="0"/>
          <c:cat>
            <c:multiLvlStrRef>
              <c:f>Лист1!$A$2:$B$11</c:f>
              <c:multiLvlStrCache>
                <c:ptCount val="10"/>
                <c:lvl>
                  <c:pt idx="0">
                    <c:v>2011-19</c:v>
                  </c:pt>
                  <c:pt idx="1">
                    <c:v>2020</c:v>
                  </c:pt>
                  <c:pt idx="2">
                    <c:v>2011-19</c:v>
                  </c:pt>
                  <c:pt idx="3">
                    <c:v>2020</c:v>
                  </c:pt>
                  <c:pt idx="4">
                    <c:v>2011-19</c:v>
                  </c:pt>
                  <c:pt idx="5">
                    <c:v>2020</c:v>
                  </c:pt>
                  <c:pt idx="6">
                    <c:v>2011-19</c:v>
                  </c:pt>
                  <c:pt idx="7">
                    <c:v>2020</c:v>
                  </c:pt>
                  <c:pt idx="8">
                    <c:v>2011-19</c:v>
                  </c:pt>
                  <c:pt idx="9">
                    <c:v>2020</c:v>
                  </c:pt>
                </c:lvl>
                <c:lvl>
                  <c:pt idx="0">
                    <c:v>"ААА" (except Moscow and St. Petersburg)</c:v>
                  </c:pt>
                  <c:pt idx="2">
                    <c:v>"АА"</c:v>
                  </c:pt>
                  <c:pt idx="4">
                    <c:v>"А"</c:v>
                  </c:pt>
                  <c:pt idx="6">
                    <c:v>"BBB"</c:v>
                  </c:pt>
                  <c:pt idx="8">
                    <c:v>Without ACRA credit rating</c:v>
                  </c:pt>
                </c:lvl>
              </c:multiLvlStrCache>
            </c:multiLvlStrRef>
          </c:cat>
          <c:val>
            <c:numRef>
              <c:f>Лист1!$G$2:$G$11</c:f>
              <c:numCache>
                <c:formatCode>0.0</c:formatCode>
                <c:ptCount val="10"/>
                <c:pt idx="0">
                  <c:v>-0.9580067599838531</c:v>
                </c:pt>
                <c:pt idx="1">
                  <c:v>-0.90290178977602842</c:v>
                </c:pt>
                <c:pt idx="2">
                  <c:v>-0.42794215179304157</c:v>
                </c:pt>
                <c:pt idx="3">
                  <c:v>-1.317928947032964</c:v>
                </c:pt>
                <c:pt idx="4">
                  <c:v>-0.53611294082521999</c:v>
                </c:pt>
                <c:pt idx="5">
                  <c:v>-1.2412989244085917</c:v>
                </c:pt>
                <c:pt idx="6">
                  <c:v>-0.57640295127511143</c:v>
                </c:pt>
                <c:pt idx="7">
                  <c:v>-1.888417597955157</c:v>
                </c:pt>
                <c:pt idx="8">
                  <c:v>-0.57532744693558269</c:v>
                </c:pt>
                <c:pt idx="9">
                  <c:v>-0.85368918563694585</c:v>
                </c:pt>
              </c:numCache>
            </c:numRef>
          </c:val>
          <c:extLst>
            <c:ext xmlns:c16="http://schemas.microsoft.com/office/drawing/2014/chart" uri="{C3380CC4-5D6E-409C-BE32-E72D297353CC}">
              <c16:uniqueId val="{00000004-8C22-404D-8679-2844EF4B0913}"/>
            </c:ext>
          </c:extLst>
        </c:ser>
        <c:ser>
          <c:idx val="7"/>
          <c:order val="5"/>
          <c:tx>
            <c:strRef>
              <c:f>Лист1!$H$1</c:f>
              <c:strCache>
                <c:ptCount val="1"/>
                <c:pt idx="0">
                  <c:v>Subsidies and Other intergovernmental transfers (outgoing)</c:v>
                </c:pt>
              </c:strCache>
            </c:strRef>
          </c:tx>
          <c:spPr>
            <a:solidFill>
              <a:srgbClr val="00B0F0"/>
            </a:solidFill>
            <a:ln>
              <a:solidFill>
                <a:sysClr val="windowText" lastClr="000000"/>
              </a:solidFill>
            </a:ln>
            <a:effectLst/>
          </c:spPr>
          <c:invertIfNegative val="0"/>
          <c:cat>
            <c:strRef>
              <c:f>Лист1!$A$2:$A$11</c:f>
              <c:strCache>
                <c:ptCount val="9"/>
                <c:pt idx="0">
                  <c:v>"ААА" (except Moscow and St. Petersburg)</c:v>
                </c:pt>
                <c:pt idx="2">
                  <c:v>"АА"</c:v>
                </c:pt>
                <c:pt idx="4">
                  <c:v>"А"</c:v>
                </c:pt>
                <c:pt idx="6">
                  <c:v>"BBB"</c:v>
                </c:pt>
                <c:pt idx="8">
                  <c:v>Without ACRA credit rating</c:v>
                </c:pt>
              </c:strCache>
            </c:strRef>
          </c:cat>
          <c:val>
            <c:numRef>
              <c:f>Лист1!$H$2:$H$11</c:f>
              <c:numCache>
                <c:formatCode>0.0</c:formatCode>
                <c:ptCount val="10"/>
                <c:pt idx="0">
                  <c:v>-12.303897210049268</c:v>
                </c:pt>
                <c:pt idx="1">
                  <c:v>-11.450016478429141</c:v>
                </c:pt>
                <c:pt idx="2">
                  <c:v>-6.1761965912437677</c:v>
                </c:pt>
                <c:pt idx="3">
                  <c:v>-6.0948338306187635</c:v>
                </c:pt>
                <c:pt idx="4">
                  <c:v>-5.3288583902055029</c:v>
                </c:pt>
                <c:pt idx="5">
                  <c:v>-5.7510309798577763</c:v>
                </c:pt>
                <c:pt idx="6">
                  <c:v>-7.0594748847197888</c:v>
                </c:pt>
                <c:pt idx="7">
                  <c:v>-5.2865955170687577</c:v>
                </c:pt>
                <c:pt idx="8">
                  <c:v>-5.2814903178380064</c:v>
                </c:pt>
                <c:pt idx="9">
                  <c:v>-6.7299399731029856</c:v>
                </c:pt>
              </c:numCache>
            </c:numRef>
          </c:val>
          <c:extLst>
            <c:ext xmlns:c16="http://schemas.microsoft.com/office/drawing/2014/chart" uri="{C3380CC4-5D6E-409C-BE32-E72D297353CC}">
              <c16:uniqueId val="{00000005-8C22-404D-8679-2844EF4B0913}"/>
            </c:ext>
          </c:extLst>
        </c:ser>
        <c:dLbls>
          <c:showLegendKey val="0"/>
          <c:showVal val="0"/>
          <c:showCatName val="0"/>
          <c:showSerName val="0"/>
          <c:showPercent val="0"/>
          <c:showBubbleSize val="0"/>
        </c:dLbls>
        <c:gapWidth val="150"/>
        <c:overlap val="100"/>
        <c:axId val="1787836575"/>
        <c:axId val="1787825759"/>
      </c:barChart>
      <c:lineChart>
        <c:grouping val="standard"/>
        <c:varyColors val="0"/>
        <c:ser>
          <c:idx val="8"/>
          <c:order val="6"/>
          <c:tx>
            <c:strRef>
              <c:f>Лист1!$I$1</c:f>
              <c:strCache>
                <c:ptCount val="1"/>
                <c:pt idx="0">
                  <c:v>( Incoming minus Outgoing transfers )</c:v>
                </c:pt>
              </c:strCache>
            </c:strRef>
          </c:tx>
          <c:spPr>
            <a:ln w="6350" cap="rnd">
              <a:noFill/>
              <a:round/>
            </a:ln>
            <a:effectLst/>
          </c:spPr>
          <c:marker>
            <c:symbol val="circle"/>
            <c:size val="6"/>
            <c:spPr>
              <a:solidFill>
                <a:sysClr val="window" lastClr="FFFFFF"/>
              </a:solidFill>
              <a:ln w="9525">
                <a:solidFill>
                  <a:sysClr val="windowText" lastClr="000000"/>
                </a:solidFill>
              </a:ln>
              <a:effectLst/>
            </c:spPr>
          </c:marker>
          <c:cat>
            <c:multiLvlStrRef>
              <c:f>Лист1!$A$2:$B$11</c:f>
              <c:multiLvlStrCache>
                <c:ptCount val="10"/>
                <c:lvl>
                  <c:pt idx="0">
                    <c:v>2011-19</c:v>
                  </c:pt>
                  <c:pt idx="1">
                    <c:v>2020</c:v>
                  </c:pt>
                  <c:pt idx="2">
                    <c:v>2011-19</c:v>
                  </c:pt>
                  <c:pt idx="3">
                    <c:v>2020</c:v>
                  </c:pt>
                  <c:pt idx="4">
                    <c:v>2011-19</c:v>
                  </c:pt>
                  <c:pt idx="5">
                    <c:v>2020</c:v>
                  </c:pt>
                  <c:pt idx="6">
                    <c:v>2011-19</c:v>
                  </c:pt>
                  <c:pt idx="7">
                    <c:v>2020</c:v>
                  </c:pt>
                  <c:pt idx="8">
                    <c:v>2011-19</c:v>
                  </c:pt>
                  <c:pt idx="9">
                    <c:v>2020</c:v>
                  </c:pt>
                </c:lvl>
                <c:lvl>
                  <c:pt idx="0">
                    <c:v>"ААА" (except Moscow and St. Petersburg)</c:v>
                  </c:pt>
                  <c:pt idx="2">
                    <c:v>"АА"</c:v>
                  </c:pt>
                  <c:pt idx="4">
                    <c:v>"А"</c:v>
                  </c:pt>
                  <c:pt idx="6">
                    <c:v>"BBB"</c:v>
                  </c:pt>
                  <c:pt idx="8">
                    <c:v>Without ACRA credit rating</c:v>
                  </c:pt>
                </c:lvl>
              </c:multiLvlStrCache>
            </c:multiLvlStrRef>
          </c:cat>
          <c:val>
            <c:numRef>
              <c:f>Лист1!$I$2:$I$11</c:f>
              <c:numCache>
                <c:formatCode>0.0</c:formatCode>
                <c:ptCount val="10"/>
                <c:pt idx="0">
                  <c:v>-9.9644006225437742</c:v>
                </c:pt>
                <c:pt idx="1">
                  <c:v>-6.6606678036115019</c:v>
                </c:pt>
                <c:pt idx="2">
                  <c:v>-0.32245073731442364</c:v>
                </c:pt>
                <c:pt idx="3">
                  <c:v>3.9222266530343726</c:v>
                </c:pt>
                <c:pt idx="4">
                  <c:v>-0.53924330996444725</c:v>
                </c:pt>
                <c:pt idx="5">
                  <c:v>4.593243538580702</c:v>
                </c:pt>
                <c:pt idx="6">
                  <c:v>4.2869876876978017</c:v>
                </c:pt>
                <c:pt idx="7">
                  <c:v>11.693110518088357</c:v>
                </c:pt>
                <c:pt idx="8">
                  <c:v>7.0219663763488667</c:v>
                </c:pt>
                <c:pt idx="9">
                  <c:v>14.204302022483535</c:v>
                </c:pt>
              </c:numCache>
            </c:numRef>
          </c:val>
          <c:smooth val="0"/>
          <c:extLst>
            <c:ext xmlns:c16="http://schemas.microsoft.com/office/drawing/2014/chart" uri="{C3380CC4-5D6E-409C-BE32-E72D297353CC}">
              <c16:uniqueId val="{00000006-8C22-404D-8679-2844EF4B0913}"/>
            </c:ext>
          </c:extLst>
        </c:ser>
        <c:dLbls>
          <c:showLegendKey val="0"/>
          <c:showVal val="0"/>
          <c:showCatName val="0"/>
          <c:showSerName val="0"/>
          <c:showPercent val="0"/>
          <c:showBubbleSize val="0"/>
        </c:dLbls>
        <c:marker val="1"/>
        <c:smooth val="0"/>
        <c:axId val="1787836575"/>
        <c:axId val="1787825759"/>
      </c:lineChart>
      <c:catAx>
        <c:axId val="1787836575"/>
        <c:scaling>
          <c:orientation val="minMax"/>
        </c:scaling>
        <c:delete val="0"/>
        <c:axPos val="b"/>
        <c:majorGridlines>
          <c:spPr>
            <a:ln w="9525" cap="flat" cmpd="sng" algn="ctr">
              <a:solidFill>
                <a:sysClr val="window" lastClr="FFFFFF">
                  <a:lumMod val="75000"/>
                </a:sysClr>
              </a:solidFill>
              <a:round/>
            </a:ln>
            <a:effectLst/>
          </c:spPr>
        </c:majorGridlines>
        <c:numFmt formatCode="General" sourceLinked="1"/>
        <c:majorTickMark val="cross"/>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7825759"/>
        <c:crosses val="autoZero"/>
        <c:auto val="1"/>
        <c:lblAlgn val="ctr"/>
        <c:lblOffset val="100"/>
        <c:noMultiLvlLbl val="0"/>
      </c:catAx>
      <c:valAx>
        <c:axId val="1787825759"/>
        <c:scaling>
          <c:orientation val="minMax"/>
          <c:max val="30"/>
          <c:min val="-30"/>
        </c:scaling>
        <c:delete val="0"/>
        <c:axPos val="l"/>
        <c:numFmt formatCode="#,##0" sourceLinked="0"/>
        <c:majorTickMark val="cross"/>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87836575"/>
        <c:crosses val="autoZero"/>
        <c:crossBetween val="between"/>
        <c:majorUnit val="10"/>
      </c:valAx>
      <c:spPr>
        <a:noFill/>
        <a:ln>
          <a:noFill/>
        </a:ln>
        <a:effectLst/>
      </c:spPr>
    </c:plotArea>
    <c:legend>
      <c:legendPos val="r"/>
      <c:legendEntry>
        <c:idx val="0"/>
        <c:delete val="1"/>
      </c:legendEntry>
      <c:legendEntry>
        <c:idx val="1"/>
        <c:delete val="1"/>
      </c:legendEntry>
      <c:legendEntry>
        <c:idx val="2"/>
        <c:delete val="1"/>
      </c:legendEntry>
      <c:layout>
        <c:manualLayout>
          <c:xMode val="edge"/>
          <c:yMode val="edge"/>
          <c:x val="0.78281343475161536"/>
          <c:y val="7.3873043217178289E-2"/>
          <c:w val="0.20627038546434739"/>
          <c:h val="0.855634331417230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3544-0C5A-43A0-B5DA-5D861EE5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C:\Users\user\Documents\Настраиваемые шаблоны Office\Doc3.dotx</Template>
  <TotalTime>46</TotalTime>
  <Pages>4</Pages>
  <Words>677</Words>
  <Characters>4904</Characters>
  <Application>Microsoft Office Word</Application>
  <DocSecurity>0</DocSecurity>
  <Lines>87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ИСЭиЭПС КомиНЦ УрО РАН</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Тимушев</dc:creator>
  <cp:keywords/>
  <dc:description/>
  <cp:lastModifiedBy>Dmitry Demyankov</cp:lastModifiedBy>
  <cp:revision>21</cp:revision>
  <dcterms:created xsi:type="dcterms:W3CDTF">2021-11-13T11:05:00Z</dcterms:created>
  <dcterms:modified xsi:type="dcterms:W3CDTF">2021-11-13T16:58:00Z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