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F6CFBB" w14:textId="77777777" w:rsidR="00671142" w:rsidRDefault="00000000">
      <w:pPr>
        <w:ind w:firstLine="0"/>
        <w:rPr>
          <w:b/>
        </w:rPr>
      </w:pPr>
      <w:r>
        <w:rPr>
          <w:b/>
        </w:rPr>
        <w:t>Свет открытой науки или теневая экономика? Анализ распространения платы за публикации среди преподавателей российских университетов</w:t>
      </w:r>
    </w:p>
    <w:p w14:paraId="3D8C2608" w14:textId="77777777" w:rsidR="00671142" w:rsidRDefault="00000000">
      <w:pPr>
        <w:ind w:firstLine="0"/>
      </w:pPr>
      <w:r>
        <w:t xml:space="preserve"> </w:t>
      </w:r>
    </w:p>
    <w:p w14:paraId="449BC65D" w14:textId="5F116D48" w:rsidR="00671142" w:rsidRDefault="00000000" w:rsidP="00E53E24">
      <w:pPr>
        <w:ind w:firstLine="567"/>
      </w:pPr>
      <w:r>
        <w:t xml:space="preserve">В докладе мы представим анализ масштаба и стратегии публикационной работы преподавателей, связанных с платой за публикации. Плата за публикацию может взиматься как часть движения к открытой науке, где автор статьи покрывает издержки издателя ради предоставления бесплатного доступа потенциальным читателям. Однако обращение к платным услугам может реализовываться </w:t>
      </w:r>
      <w:r w:rsidR="002A7913">
        <w:rPr>
          <w:lang w:val="ru-RU"/>
        </w:rPr>
        <w:t>и для ускорения</w:t>
      </w:r>
      <w:r>
        <w:t xml:space="preserve"> </w:t>
      </w:r>
      <w:r w:rsidR="002A7913">
        <w:rPr>
          <w:lang w:val="ru-RU"/>
        </w:rPr>
        <w:t>прироста</w:t>
      </w:r>
      <w:r>
        <w:t xml:space="preserve"> числа статей для отчетности, финансового вознаграждения и карьерного продвижения.</w:t>
      </w:r>
    </w:p>
    <w:p w14:paraId="2715C63D" w14:textId="12D412AA" w:rsidR="00671142" w:rsidRDefault="00000000" w:rsidP="00E53E24">
      <w:pPr>
        <w:ind w:firstLine="567"/>
      </w:pPr>
      <w:r>
        <w:t xml:space="preserve">За </w:t>
      </w:r>
      <w:r w:rsidR="002A7913">
        <w:rPr>
          <w:lang w:val="ru-RU"/>
        </w:rPr>
        <w:t xml:space="preserve">последнее </w:t>
      </w:r>
      <w:r>
        <w:t xml:space="preserve">десятилетие российские преподаватели и научные сотрудники стали гораздо активнее публиковать статьи (Chankseliani et al 2021). Поддержка научных проектов, запуск новых систем оплаты труда в высшем образовании, где большую роль играет состоятельность преподавателя как исследователя, и реализация программ развития науки в вузах сыграли в этом большую роль (Matveeva et al 2021, Moed et al 2018). Однако политика повышения научной продуктивности столкнулась с </w:t>
      </w:r>
      <w:r w:rsidR="00783E7E">
        <w:rPr>
          <w:lang w:val="ru-RU"/>
        </w:rPr>
        <w:t xml:space="preserve">непростыми </w:t>
      </w:r>
      <w:r>
        <w:t>условиями работы преподавателей и издержками внедрения жестких индикаторов.</w:t>
      </w:r>
    </w:p>
    <w:p w14:paraId="0962CD95" w14:textId="77777777" w:rsidR="00671142" w:rsidRDefault="00000000" w:rsidP="00E53E24">
      <w:pPr>
        <w:ind w:firstLine="567"/>
      </w:pPr>
      <w:r>
        <w:t>Почти каждый преподаватель университета должен сделать свой вклад в рост публикационных показателей, что фиксируется в отчетности по проектам и системах показателей в эффективных контрактах, которые могут принимать разные формы от премии за каждую публикацию до непродления контракта по итогам года (см. примеры в приложении к статье Кулешовой и Подвойского (2018)).</w:t>
      </w:r>
    </w:p>
    <w:p w14:paraId="2E75822E" w14:textId="77777777" w:rsidR="00671142" w:rsidRDefault="00000000" w:rsidP="00E53E24">
      <w:pPr>
        <w:ind w:firstLine="567"/>
      </w:pPr>
      <w:r>
        <w:t xml:space="preserve">Давление отчетности и монетарные стимулы порождают поле для нечестного поведения как осознанного, так и неосознанного. Необходимость опубликовать несколько статей в год при отсутствии ресурсов, насыщенной академической среды и ясных этических и репутационных сигналов толкает к быстрым решениям: плагиат, заимствование, фальсификация, найм посредников и быстрые публикации в журналах с низкими требованиями к качеству материала (так называемые хищнические журналы). Отсутствие исследовательского опыта тоже играет роль в шансе оказаться в хищническом журнале (Xia et al. 2015). Анализ публикаций в потенциально хищнических журналах в базе Scopus за 2011-2018 годы показал, что их объем и доля растет (Marina and Sterligov 2021). В России с 0,24% в 2011 до 8,41% в 2016 антилидерами по росту доли публикаций в потенциально хищнических журналах стали Казахстан (41,61 % в 2016) и Индия (34,99%). </w:t>
      </w:r>
    </w:p>
    <w:p w14:paraId="6D0FE943" w14:textId="7194BBC8" w:rsidR="00671142" w:rsidRPr="00783E7E" w:rsidRDefault="00000000" w:rsidP="00E53E24">
      <w:pPr>
        <w:ind w:firstLine="567"/>
      </w:pPr>
      <w:r>
        <w:lastRenderedPageBreak/>
        <w:t>Понять, насколько распространены разные практики и стратегии, связанные с оппортунистической публикационной деятельностью - непростая задача. Она частично решается за счет выявления конкретных кейсов заимствований и фальсификаций (Mazov et al 2016,), анализа баз ретрагированных статей (Kocyigit and Akyol, 2022) и наукометрических исследований по выявлению публикаций в хищнических журналах (Önder and Erdil 2017</w:t>
      </w:r>
      <w:r w:rsidRPr="00783E7E">
        <w:t xml:space="preserve">, Guskov et al 2018, Marina and Sterligov, 2021, Губа и Словогородский 2022). Большой подробный отчет комиссии РАН по противодействию фальсификации научных исследований (авторы А.А. Абалкина, А.С. Касьян, Л.Г. Мелихова) представляет </w:t>
      </w:r>
      <w:r w:rsidR="002A7913" w:rsidRPr="00783E7E">
        <w:rPr>
          <w:lang w:val="ru-RU"/>
        </w:rPr>
        <w:t>детализированный</w:t>
      </w:r>
      <w:r w:rsidR="002A7913" w:rsidRPr="00783E7E">
        <w:t xml:space="preserve"> </w:t>
      </w:r>
      <w:r w:rsidRPr="00783E7E">
        <w:t>анализ практик публикаций в иностранных хищнических журналах российских авторов.</w:t>
      </w:r>
    </w:p>
    <w:p w14:paraId="1674A548" w14:textId="218976AB" w:rsidR="00671142" w:rsidRDefault="00000000" w:rsidP="00E53E24">
      <w:pPr>
        <w:ind w:firstLine="567"/>
      </w:pPr>
      <w:r w:rsidRPr="00783E7E">
        <w:t>В данной работе мы предпринимаем попытку оценить масштаб публикационны</w:t>
      </w:r>
      <w:r w:rsidR="002A7913" w:rsidRPr="00783E7E">
        <w:rPr>
          <w:lang w:val="ru-RU"/>
        </w:rPr>
        <w:t>х</w:t>
      </w:r>
      <w:r w:rsidRPr="00783E7E">
        <w:t xml:space="preserve"> стратегий, связанных с платой за публикации, на основе опросных данных - опроса профессорско-преподавательского состава российских</w:t>
      </w:r>
      <w:r>
        <w:t xml:space="preserve"> вузов и работников научных организаций в рамках Мониторинга экономики образования НИУ ВШЭ 2022 года. Выборка включает высокопродуктивных сотрудников – авторы, входящие в верхние 20% в рейтинге РИНЦ в соответствующей области науки; и малопродуктивные сотрудников – авторы, входящие в нижние 20% в рейтинге РИНЦ в соответствующей области науки (всего 9852 респондентов).</w:t>
      </w:r>
    </w:p>
    <w:p w14:paraId="13F56B0A" w14:textId="30807C0C" w:rsidR="00671142" w:rsidRDefault="00000000" w:rsidP="00E53E24">
      <w:pPr>
        <w:ind w:firstLine="567"/>
      </w:pPr>
      <w:r>
        <w:t>В целом, около 40%</w:t>
      </w:r>
      <w:r w:rsidR="00783E7E">
        <w:rPr>
          <w:lang w:val="ru-RU"/>
        </w:rPr>
        <w:t xml:space="preserve"> респондентов</w:t>
      </w:r>
      <w:r>
        <w:t xml:space="preserve"> отметили, что за последние три года у них были публикации в российских журналах, за которые взималась плата. В зарубежных журналах публикации с оплатой были у 41% респондентов. Эти данные говорят о широкой распространенности практики платы за публикации. Мы представим оценку масштабов распространенности и стратегий платы за публикации по нескольким направлениям: 1) связь с интенсивность</w:t>
      </w:r>
      <w:r w:rsidR="002A7913">
        <w:rPr>
          <w:lang w:val="ru-RU"/>
        </w:rPr>
        <w:t>ю</w:t>
      </w:r>
      <w:r>
        <w:t xml:space="preserve"> публикационной активностью, в частности с учетом областей исследований; 2) связь с опытом и мотивацией научной работы; 3) связь с восприятием институционального публикационного давления.</w:t>
      </w:r>
    </w:p>
    <w:p w14:paraId="491814BB" w14:textId="77777777" w:rsidR="00671142" w:rsidRDefault="00000000">
      <w:pPr>
        <w:ind w:firstLine="0"/>
      </w:pPr>
      <w:r>
        <w:t xml:space="preserve"> </w:t>
      </w:r>
    </w:p>
    <w:p w14:paraId="3BE02951" w14:textId="77777777" w:rsidR="00671142" w:rsidRDefault="00000000">
      <w:pPr>
        <w:ind w:firstLine="0"/>
        <w:rPr>
          <w:b/>
        </w:rPr>
      </w:pPr>
      <w:r>
        <w:rPr>
          <w:b/>
        </w:rPr>
        <w:t>Литература:</w:t>
      </w:r>
    </w:p>
    <w:p w14:paraId="219DEB09" w14:textId="77777777" w:rsidR="00671142" w:rsidRDefault="00000000" w:rsidP="00E53E24">
      <w:pPr>
        <w:ind w:left="560" w:hanging="560"/>
      </w:pPr>
      <w:r>
        <w:t xml:space="preserve">Губа и Словогородский (2022, в печати). Publish or Perish в российских социальных науках: паттерны соавторства в «хищных» и «чистых» журналах. </w:t>
      </w:r>
      <w:r>
        <w:rPr>
          <w:i/>
        </w:rPr>
        <w:t>Вопросы образования</w:t>
      </w:r>
      <w:r>
        <w:t>, 4</w:t>
      </w:r>
    </w:p>
    <w:p w14:paraId="424E6D3E" w14:textId="77777777" w:rsidR="00671142" w:rsidRDefault="00000000" w:rsidP="00E53E24">
      <w:pPr>
        <w:ind w:left="560" w:hanging="560"/>
        <w:rPr>
          <w:color w:val="0563C1"/>
          <w:u w:val="single"/>
        </w:rPr>
      </w:pPr>
      <w:r>
        <w:t xml:space="preserve">Иностранные хищные журналы в Scopus и WoS: переводной плагиат и российские недобросовестные авторы (2020). Российская академия наук. Комиссия РАН по </w:t>
      </w:r>
      <w:r>
        <w:lastRenderedPageBreak/>
        <w:t>противодействию фальсификации научных исследований.</w:t>
      </w:r>
      <w:hyperlink r:id="rId7">
        <w:r>
          <w:t xml:space="preserve"> </w:t>
        </w:r>
      </w:hyperlink>
      <w:hyperlink r:id="rId8">
        <w:r>
          <w:rPr>
            <w:color w:val="0563C1"/>
            <w:u w:val="single"/>
          </w:rPr>
          <w:t>http://www.ras.ru/news/shownews.aspx?id=24971447-ebfb-47b5-a3c2-9d26d467dac1</w:t>
        </w:r>
      </w:hyperlink>
    </w:p>
    <w:p w14:paraId="55C1CD79" w14:textId="77777777" w:rsidR="00671142" w:rsidRDefault="00000000" w:rsidP="00E53E24">
      <w:pPr>
        <w:ind w:left="560" w:hanging="560"/>
        <w:rPr>
          <w:color w:val="0563C1"/>
          <w:u w:val="single"/>
        </w:rPr>
      </w:pPr>
      <w:r>
        <w:t xml:space="preserve">Кулешова, А. В., &amp; Подвойский, Д. Г. (2018). Парадоксы публикационной активности в поле современной российской науки: генезис, диагноз, тренды. Мониторинг общественного мнения: Экономические и социальные перемены, (4 (146)), 169-210. </w:t>
      </w:r>
      <w:hyperlink r:id="rId9">
        <w:r>
          <w:rPr>
            <w:color w:val="0563C1"/>
            <w:u w:val="single"/>
          </w:rPr>
          <w:t>https://doi.org/10.14515/monitoring.2018.4.10</w:t>
        </w:r>
      </w:hyperlink>
    </w:p>
    <w:p w14:paraId="06F46EA8" w14:textId="77777777" w:rsidR="00671142" w:rsidRPr="00E53E24" w:rsidRDefault="00000000" w:rsidP="00E53E24">
      <w:pPr>
        <w:ind w:left="560" w:hanging="560"/>
        <w:rPr>
          <w:color w:val="0563C1"/>
          <w:u w:val="single"/>
          <w:lang w:val="en-US"/>
        </w:rPr>
      </w:pPr>
      <w:r w:rsidRPr="00E53E24">
        <w:rPr>
          <w:lang w:val="en-US"/>
        </w:rPr>
        <w:t xml:space="preserve">Chankseliani, M., Lovakov, A., &amp; Pislyakov, V. (2021). A big picture: bibliometric study of academic publications from post-Soviet countries. Scientometrics, 126(10), 8701-8730 </w:t>
      </w:r>
      <w:hyperlink r:id="rId10">
        <w:r w:rsidRPr="00E53E24">
          <w:rPr>
            <w:color w:val="0563C1"/>
            <w:u w:val="single"/>
            <w:lang w:val="en-US"/>
          </w:rPr>
          <w:t>https://doi.org/10.1007/s11192-021-04124-5</w:t>
        </w:r>
      </w:hyperlink>
    </w:p>
    <w:p w14:paraId="6A45D262" w14:textId="77777777" w:rsidR="00671142" w:rsidRPr="00E53E24" w:rsidRDefault="00000000" w:rsidP="00E53E24">
      <w:pPr>
        <w:ind w:left="560" w:hanging="560"/>
        <w:rPr>
          <w:color w:val="0563C1"/>
          <w:u w:val="single"/>
          <w:lang w:val="en-US"/>
        </w:rPr>
      </w:pPr>
      <w:r w:rsidRPr="00E53E24">
        <w:rPr>
          <w:lang w:val="en-US"/>
        </w:rPr>
        <w:t>Guskov, A.E., Kosyakov, D.V. &amp; Selivanova, I.V. Boosting research productivity in top Russian universities: the circumstances of breakthrough. Scientometrics 117, 1053–1080 (2018).</w:t>
      </w:r>
      <w:hyperlink r:id="rId11">
        <w:r w:rsidRPr="00E53E24">
          <w:rPr>
            <w:lang w:val="en-US"/>
          </w:rPr>
          <w:t xml:space="preserve"> </w:t>
        </w:r>
      </w:hyperlink>
      <w:hyperlink r:id="rId12">
        <w:r w:rsidRPr="00E53E24">
          <w:rPr>
            <w:color w:val="0563C1"/>
            <w:u w:val="single"/>
            <w:lang w:val="en-US"/>
          </w:rPr>
          <w:t>https://doi.org/10.1007/s11192-018-2890-8</w:t>
        </w:r>
      </w:hyperlink>
    </w:p>
    <w:p w14:paraId="13A4F204" w14:textId="77777777" w:rsidR="00671142" w:rsidRPr="00E53E24" w:rsidRDefault="00000000" w:rsidP="00E53E24">
      <w:pPr>
        <w:ind w:left="560" w:hanging="560"/>
        <w:rPr>
          <w:lang w:val="en-US"/>
        </w:rPr>
      </w:pPr>
      <w:r w:rsidRPr="00E53E24">
        <w:rPr>
          <w:lang w:val="en-US"/>
        </w:rPr>
        <w:t>Kocyigit, B. F., &amp; Akyol, A. (2022). Analysis of Retracted Publications in The Biomedical Literature from Turkey. Journal of Korean Medical Science, 37(18).</w:t>
      </w:r>
    </w:p>
    <w:p w14:paraId="39E532F5" w14:textId="77777777" w:rsidR="00671142" w:rsidRPr="002A7913" w:rsidRDefault="00000000" w:rsidP="00E53E24">
      <w:pPr>
        <w:ind w:left="560" w:hanging="560"/>
        <w:rPr>
          <w:color w:val="0563C1"/>
          <w:u w:val="single"/>
          <w:lang w:val="en-US"/>
        </w:rPr>
      </w:pPr>
      <w:r w:rsidRPr="00E53E24">
        <w:rPr>
          <w:lang w:val="en-US"/>
        </w:rPr>
        <w:t xml:space="preserve">Marina, T., &amp; Sterligov, I. (2021). Prevalence of potentially predatory publishing in Scopus on the country level. </w:t>
      </w:r>
      <w:r w:rsidRPr="002A7913">
        <w:rPr>
          <w:lang w:val="en-US"/>
        </w:rPr>
        <w:t>Scientometrics, 126(6), 5019-5077</w:t>
      </w:r>
      <w:hyperlink r:id="rId13">
        <w:r w:rsidRPr="002A7913">
          <w:rPr>
            <w:lang w:val="en-US"/>
          </w:rPr>
          <w:t xml:space="preserve"> </w:t>
        </w:r>
      </w:hyperlink>
      <w:hyperlink r:id="rId14">
        <w:r w:rsidRPr="002A7913">
          <w:rPr>
            <w:color w:val="0563C1"/>
            <w:u w:val="single"/>
            <w:lang w:val="en-US"/>
          </w:rPr>
          <w:t>https://doi.org/10.1007/s11192-021-03899-x</w:t>
        </w:r>
      </w:hyperlink>
    </w:p>
    <w:p w14:paraId="28E0C0FD" w14:textId="77777777" w:rsidR="00671142" w:rsidRPr="00E53E24" w:rsidRDefault="00000000" w:rsidP="00E53E24">
      <w:pPr>
        <w:ind w:left="560" w:hanging="560"/>
        <w:rPr>
          <w:lang w:val="en-US"/>
        </w:rPr>
      </w:pPr>
      <w:r w:rsidRPr="00E53E24">
        <w:rPr>
          <w:lang w:val="en-US"/>
        </w:rPr>
        <w:t>Matveeva, N., Sterligov, I., &amp; Yudkevich, M. (2021). The effect of Russian University Excellence Initiative on publications and collaboration patterns. Journal of Informetrics, 15(1), 101110.</w:t>
      </w:r>
    </w:p>
    <w:p w14:paraId="51587789" w14:textId="77777777" w:rsidR="00671142" w:rsidRPr="00E53E24" w:rsidRDefault="00000000" w:rsidP="00E53E24">
      <w:pPr>
        <w:ind w:left="560" w:hanging="560"/>
        <w:rPr>
          <w:lang w:val="en-US"/>
        </w:rPr>
      </w:pPr>
      <w:r w:rsidRPr="00E53E24">
        <w:rPr>
          <w:lang w:val="en-US"/>
        </w:rPr>
        <w:t>Mazov, N.A., Gureev, V.N., and Kosyakov, D.V., On the development of a plagiarism detection model based on citation analysis using a bibliographic database, Sci. Tech. Inf. Process., 2016, vol. 43, no. 4, pp. 236–240.</w:t>
      </w:r>
    </w:p>
    <w:p w14:paraId="49EEA380" w14:textId="77777777" w:rsidR="00671142" w:rsidRPr="00E53E24" w:rsidRDefault="00000000" w:rsidP="00E53E24">
      <w:pPr>
        <w:ind w:left="560" w:hanging="560"/>
        <w:rPr>
          <w:color w:val="222222"/>
          <w:highlight w:val="white"/>
          <w:lang w:val="en-US"/>
        </w:rPr>
      </w:pPr>
      <w:r w:rsidRPr="00E53E24">
        <w:rPr>
          <w:color w:val="222222"/>
          <w:highlight w:val="white"/>
          <w:lang w:val="en-US"/>
        </w:rPr>
        <w:t xml:space="preserve">Moed, H. F., Markusova, V., &amp; Akoev, M. (2018). Trends in Russian research output indexed in Scopus and Web of Science. </w:t>
      </w:r>
      <w:r w:rsidRPr="00E53E24">
        <w:rPr>
          <w:i/>
          <w:color w:val="222222"/>
          <w:highlight w:val="white"/>
          <w:lang w:val="en-US"/>
        </w:rPr>
        <w:t>Scientometrics</w:t>
      </w:r>
      <w:r w:rsidRPr="00E53E24">
        <w:rPr>
          <w:color w:val="222222"/>
          <w:highlight w:val="white"/>
          <w:lang w:val="en-US"/>
        </w:rPr>
        <w:t xml:space="preserve">, </w:t>
      </w:r>
      <w:r w:rsidRPr="00E53E24">
        <w:rPr>
          <w:i/>
          <w:color w:val="222222"/>
          <w:highlight w:val="white"/>
          <w:lang w:val="en-US"/>
        </w:rPr>
        <w:t>116</w:t>
      </w:r>
      <w:r w:rsidRPr="00E53E24">
        <w:rPr>
          <w:color w:val="222222"/>
          <w:highlight w:val="white"/>
          <w:lang w:val="en-US"/>
        </w:rPr>
        <w:t>(2), 1153-1180.</w:t>
      </w:r>
    </w:p>
    <w:p w14:paraId="63035272" w14:textId="0DFDA1E4" w:rsidR="00671142" w:rsidRPr="00E53E24" w:rsidRDefault="00000000" w:rsidP="00E53E24">
      <w:pPr>
        <w:ind w:left="560" w:hanging="560"/>
        <w:rPr>
          <w:color w:val="0563C1"/>
          <w:u w:val="single"/>
          <w:lang w:val="en-US"/>
        </w:rPr>
      </w:pPr>
      <w:r w:rsidRPr="00E53E24">
        <w:rPr>
          <w:lang w:val="en-US"/>
        </w:rPr>
        <w:t>Önder, Ç., &amp; Erdil, S. E. (2017). Opportunities and opportunism: Publication outlet selection under pressure to increase research productivity. Research Evaluation, 26(2), 66-77.</w:t>
      </w:r>
      <w:hyperlink r:id="rId15">
        <w:r w:rsidRPr="00E53E24">
          <w:rPr>
            <w:lang w:val="en-US"/>
          </w:rPr>
          <w:t xml:space="preserve"> </w:t>
        </w:r>
      </w:hyperlink>
      <w:hyperlink r:id="rId16" w:history="1">
        <w:r w:rsidR="00783E7E" w:rsidRPr="00630B6C">
          <w:rPr>
            <w:rStyle w:val="afd"/>
            <w:lang w:val="en-US"/>
          </w:rPr>
          <w:t>https://doi.org/10.1093/reseval/rvx006</w:t>
        </w:r>
      </w:hyperlink>
    </w:p>
    <w:p w14:paraId="117EBD4D" w14:textId="77777777" w:rsidR="00671142" w:rsidRPr="00E53E24" w:rsidRDefault="00000000" w:rsidP="00E53E24">
      <w:pPr>
        <w:ind w:left="560" w:hanging="560"/>
        <w:rPr>
          <w:color w:val="222222"/>
          <w:highlight w:val="white"/>
          <w:lang w:val="en-US"/>
        </w:rPr>
      </w:pPr>
      <w:r w:rsidRPr="00E53E24">
        <w:rPr>
          <w:color w:val="222222"/>
          <w:highlight w:val="white"/>
          <w:lang w:val="en-US"/>
        </w:rPr>
        <w:t xml:space="preserve">Xia, J., Harmon, J. L., Connolly, K. G., Donnelly, R. M., Anderson, M. R., &amp; Howard, H. A. (2015). Who publishes in “predatory” journals?. </w:t>
      </w:r>
      <w:r w:rsidRPr="00E53E24">
        <w:rPr>
          <w:i/>
          <w:color w:val="222222"/>
          <w:highlight w:val="white"/>
          <w:lang w:val="en-US"/>
        </w:rPr>
        <w:t>Journal of the Association for Information Science and Technology</w:t>
      </w:r>
      <w:r w:rsidRPr="00E53E24">
        <w:rPr>
          <w:color w:val="222222"/>
          <w:highlight w:val="white"/>
          <w:lang w:val="en-US"/>
        </w:rPr>
        <w:t xml:space="preserve">, </w:t>
      </w:r>
      <w:r w:rsidRPr="00E53E24">
        <w:rPr>
          <w:i/>
          <w:color w:val="222222"/>
          <w:highlight w:val="white"/>
          <w:lang w:val="en-US"/>
        </w:rPr>
        <w:t>66</w:t>
      </w:r>
      <w:r w:rsidRPr="00E53E24">
        <w:rPr>
          <w:color w:val="222222"/>
          <w:highlight w:val="white"/>
          <w:lang w:val="en-US"/>
        </w:rPr>
        <w:t>(7), 1406-1417.</w:t>
      </w:r>
    </w:p>
    <w:p w14:paraId="4630FD4D" w14:textId="77777777" w:rsidR="00671142" w:rsidRPr="00E53E24" w:rsidRDefault="00000000">
      <w:pPr>
        <w:ind w:left="560" w:firstLine="0"/>
        <w:rPr>
          <w:lang w:val="en-US"/>
        </w:rPr>
      </w:pPr>
      <w:r w:rsidRPr="00E53E24">
        <w:rPr>
          <w:lang w:val="en-US"/>
        </w:rPr>
        <w:t xml:space="preserve"> </w:t>
      </w:r>
    </w:p>
    <w:p w14:paraId="76A520FC" w14:textId="6536B39A" w:rsidR="00671142" w:rsidRPr="00E53E24" w:rsidRDefault="00000000" w:rsidP="00E53E24">
      <w:pPr>
        <w:ind w:firstLine="0"/>
        <w:rPr>
          <w:lang w:val="en-US"/>
        </w:rPr>
      </w:pPr>
      <w:r w:rsidRPr="00E53E24">
        <w:rPr>
          <w:rFonts w:ascii="Calibri" w:eastAsia="Calibri" w:hAnsi="Calibri" w:cs="Calibri"/>
          <w:lang w:val="en-US"/>
        </w:rPr>
        <w:t xml:space="preserve"> </w:t>
      </w:r>
    </w:p>
    <w:p w14:paraId="37EF51FE" w14:textId="77777777" w:rsidR="00671142" w:rsidRPr="00E53E24" w:rsidRDefault="00671142">
      <w:pPr>
        <w:rPr>
          <w:color w:val="222222"/>
          <w:sz w:val="20"/>
          <w:szCs w:val="20"/>
          <w:lang w:val="en-US"/>
        </w:rPr>
      </w:pPr>
    </w:p>
    <w:sectPr w:rsidR="00671142" w:rsidRPr="00E53E24" w:rsidSect="00E53E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7196" w14:textId="77777777" w:rsidR="00FD1183" w:rsidRDefault="00FD1183">
      <w:pPr>
        <w:spacing w:line="240" w:lineRule="auto"/>
      </w:pPr>
      <w:r>
        <w:separator/>
      </w:r>
    </w:p>
  </w:endnote>
  <w:endnote w:type="continuationSeparator" w:id="0">
    <w:p w14:paraId="01647BAA" w14:textId="77777777" w:rsidR="00FD1183" w:rsidRDefault="00FD1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8D17" w14:textId="77777777" w:rsidR="00E53E24" w:rsidRDefault="00E53E24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1E22" w14:textId="77777777" w:rsidR="00671142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E53E2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8489" w14:textId="77777777" w:rsidR="00E53E24" w:rsidRDefault="00E53E2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3DCC" w14:textId="77777777" w:rsidR="00FD1183" w:rsidRDefault="00FD1183">
      <w:pPr>
        <w:spacing w:line="240" w:lineRule="auto"/>
      </w:pPr>
      <w:r>
        <w:separator/>
      </w:r>
    </w:p>
  </w:footnote>
  <w:footnote w:type="continuationSeparator" w:id="0">
    <w:p w14:paraId="5E2CDF0C" w14:textId="77777777" w:rsidR="00FD1183" w:rsidRDefault="00FD1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B427" w14:textId="77777777" w:rsidR="00E53E24" w:rsidRDefault="00E53E24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FA33" w14:textId="77777777" w:rsidR="00E53E24" w:rsidRDefault="00E53E24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658B" w14:textId="77777777" w:rsidR="00E53E24" w:rsidRDefault="00E53E2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E50"/>
    <w:multiLevelType w:val="multilevel"/>
    <w:tmpl w:val="2AD469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3A1062"/>
    <w:multiLevelType w:val="multilevel"/>
    <w:tmpl w:val="46F0F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4327EB"/>
    <w:multiLevelType w:val="multilevel"/>
    <w:tmpl w:val="3314E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9B6C44"/>
    <w:multiLevelType w:val="multilevel"/>
    <w:tmpl w:val="722A37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BE6E58"/>
    <w:multiLevelType w:val="multilevel"/>
    <w:tmpl w:val="EAFA1C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B470E74"/>
    <w:multiLevelType w:val="multilevel"/>
    <w:tmpl w:val="4F7E15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8A030C"/>
    <w:multiLevelType w:val="multilevel"/>
    <w:tmpl w:val="1EFCE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F80E2D"/>
    <w:multiLevelType w:val="multilevel"/>
    <w:tmpl w:val="03D44F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44594028">
    <w:abstractNumId w:val="3"/>
  </w:num>
  <w:num w:numId="2" w16cid:durableId="234751140">
    <w:abstractNumId w:val="4"/>
  </w:num>
  <w:num w:numId="3" w16cid:durableId="1979724889">
    <w:abstractNumId w:val="0"/>
  </w:num>
  <w:num w:numId="4" w16cid:durableId="1678267929">
    <w:abstractNumId w:val="7"/>
  </w:num>
  <w:num w:numId="5" w16cid:durableId="428627621">
    <w:abstractNumId w:val="1"/>
  </w:num>
  <w:num w:numId="6" w16cid:durableId="1698120802">
    <w:abstractNumId w:val="2"/>
  </w:num>
  <w:num w:numId="7" w16cid:durableId="1308704386">
    <w:abstractNumId w:val="5"/>
  </w:num>
  <w:num w:numId="8" w16cid:durableId="1049647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42"/>
    <w:rsid w:val="001568F6"/>
    <w:rsid w:val="002A7913"/>
    <w:rsid w:val="005275A5"/>
    <w:rsid w:val="00671142"/>
    <w:rsid w:val="006F7210"/>
    <w:rsid w:val="00783E7E"/>
    <w:rsid w:val="00AE584E"/>
    <w:rsid w:val="00E53E24"/>
    <w:rsid w:val="00EB796E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4A360"/>
  <w15:docId w15:val="{BD37B104-504B-4D4C-97E2-284E0C4B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spacing w:line="360" w:lineRule="auto"/>
        <w:ind w:firstLine="5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outlineLvl w:val="0"/>
    </w:pPr>
    <w:rPr>
      <w:b/>
      <w:sz w:val="26"/>
      <w:szCs w:val="26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i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annotation text"/>
    <w:basedOn w:val="a"/>
    <w:link w:val="a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E53E2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53E24"/>
  </w:style>
  <w:style w:type="paragraph" w:styleId="af8">
    <w:name w:val="footer"/>
    <w:basedOn w:val="a"/>
    <w:link w:val="af9"/>
    <w:uiPriority w:val="99"/>
    <w:unhideWhenUsed/>
    <w:rsid w:val="00E53E2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53E24"/>
  </w:style>
  <w:style w:type="paragraph" w:styleId="afa">
    <w:name w:val="Revision"/>
    <w:hidden/>
    <w:uiPriority w:val="99"/>
    <w:semiHidden/>
    <w:rsid w:val="002A7913"/>
    <w:pPr>
      <w:spacing w:line="240" w:lineRule="auto"/>
      <w:ind w:firstLine="0"/>
      <w:jc w:val="left"/>
    </w:pPr>
  </w:style>
  <w:style w:type="paragraph" w:styleId="afb">
    <w:name w:val="annotation subject"/>
    <w:basedOn w:val="af3"/>
    <w:next w:val="af3"/>
    <w:link w:val="afc"/>
    <w:uiPriority w:val="99"/>
    <w:semiHidden/>
    <w:unhideWhenUsed/>
    <w:rsid w:val="002A7913"/>
    <w:rPr>
      <w:b/>
      <w:bCs/>
    </w:rPr>
  </w:style>
  <w:style w:type="character" w:customStyle="1" w:styleId="afc">
    <w:name w:val="Тема примечания Знак"/>
    <w:basedOn w:val="af4"/>
    <w:link w:val="afb"/>
    <w:uiPriority w:val="99"/>
    <w:semiHidden/>
    <w:rsid w:val="002A7913"/>
    <w:rPr>
      <w:b/>
      <w:bCs/>
      <w:sz w:val="20"/>
      <w:szCs w:val="20"/>
    </w:rPr>
  </w:style>
  <w:style w:type="character" w:styleId="afd">
    <w:name w:val="Hyperlink"/>
    <w:basedOn w:val="a0"/>
    <w:uiPriority w:val="99"/>
    <w:unhideWhenUsed/>
    <w:rsid w:val="00783E7E"/>
    <w:rPr>
      <w:color w:val="0000FF" w:themeColor="hyperlink"/>
      <w:u w:val="single"/>
    </w:rPr>
  </w:style>
  <w:style w:type="character" w:styleId="afe">
    <w:name w:val="Unresolved Mention"/>
    <w:basedOn w:val="a0"/>
    <w:uiPriority w:val="99"/>
    <w:semiHidden/>
    <w:unhideWhenUsed/>
    <w:rsid w:val="00783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.ru/news/shownews.aspx?id=24971447-ebfb-47b5-a3c2-9d26d467dac1" TargetMode="External"/><Relationship Id="rId13" Type="http://schemas.openxmlformats.org/officeDocument/2006/relationships/hyperlink" Target="https://doi.org/10.1007/s11192-021-03899-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ras.ru/news/shownews.aspx?id=24971447-ebfb-47b5-a3c2-9d26d467dac1" TargetMode="External"/><Relationship Id="rId12" Type="http://schemas.openxmlformats.org/officeDocument/2006/relationships/hyperlink" Target="https://doi.org/10.1007/s11192-018-2890-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i.org/10.1093/reseval/rvx006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11192-018-2890-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93/reseval/rvx0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07/s11192-021-04124-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4515/monitoring.2018.4.10" TargetMode="External"/><Relationship Id="rId14" Type="http://schemas.openxmlformats.org/officeDocument/2006/relationships/hyperlink" Target="https://doi.org/10.1007/s11192-021-03899-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Шмелева Евгения Дмитриевна</cp:lastModifiedBy>
  <cp:revision>2</cp:revision>
  <dcterms:created xsi:type="dcterms:W3CDTF">2022-11-25T10:00:00Z</dcterms:created>
  <dcterms:modified xsi:type="dcterms:W3CDTF">2022-11-25T10:00:00Z</dcterms:modified>
</cp:coreProperties>
</file>