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D6" w:rsidRPr="00CC35D6" w:rsidRDefault="00CC35D6" w:rsidP="00CC35D6">
      <w:pPr>
        <w:jc w:val="center"/>
        <w:rPr>
          <w:rFonts w:eastAsiaTheme="majorEastAsia" w:cs="Times New Roman"/>
          <w:spacing w:val="-10"/>
          <w:kern w:val="28"/>
          <w:sz w:val="40"/>
          <w:szCs w:val="40"/>
        </w:rPr>
      </w:pPr>
      <w:r>
        <w:rPr>
          <w:rFonts w:eastAsiaTheme="majorEastAsia" w:cs="Times New Roman"/>
          <w:spacing w:val="-10"/>
          <w:kern w:val="28"/>
          <w:sz w:val="40"/>
          <w:szCs w:val="40"/>
        </w:rPr>
        <w:t>Прогноз спроса на цифровой рубль</w:t>
      </w:r>
    </w:p>
    <w:p w:rsidR="00CC35D6" w:rsidRPr="00CC35D6" w:rsidRDefault="00CC35D6" w:rsidP="00CC35D6">
      <w:pPr>
        <w:pStyle w:val="a7"/>
        <w:jc w:val="center"/>
      </w:pPr>
      <w:r>
        <w:t>Расширенная аннотация</w:t>
      </w:r>
    </w:p>
    <w:p w:rsidR="00CC35D6" w:rsidRPr="00CC35D6" w:rsidRDefault="00CC35D6" w:rsidP="00CC35D6">
      <w:pPr>
        <w:spacing w:after="0"/>
        <w:jc w:val="center"/>
        <w:rPr>
          <w:sz w:val="28"/>
        </w:rPr>
      </w:pPr>
    </w:p>
    <w:p w:rsidR="00CC35D6" w:rsidRPr="00CC35D6" w:rsidRDefault="00CC35D6" w:rsidP="00CC35D6">
      <w:pPr>
        <w:spacing w:after="0"/>
        <w:jc w:val="center"/>
        <w:rPr>
          <w:sz w:val="28"/>
        </w:rPr>
      </w:pPr>
      <w:r>
        <w:rPr>
          <w:sz w:val="28"/>
        </w:rPr>
        <w:t>Вадим Грищенко</w:t>
      </w:r>
      <w:r w:rsidRPr="00CC35D6">
        <w:rPr>
          <w:sz w:val="28"/>
        </w:rPr>
        <w:t>,</w:t>
      </w:r>
      <w:r w:rsidRPr="0073314C">
        <w:rPr>
          <w:rStyle w:val="a5"/>
          <w:sz w:val="28"/>
          <w:lang w:val="en-US"/>
        </w:rPr>
        <w:footnoteReference w:id="1"/>
      </w:r>
      <w:r w:rsidRPr="00CC35D6">
        <w:rPr>
          <w:sz w:val="28"/>
        </w:rPr>
        <w:t xml:space="preserve"> </w:t>
      </w:r>
      <w:r>
        <w:rPr>
          <w:sz w:val="28"/>
        </w:rPr>
        <w:t>Алексей Пономаренко</w:t>
      </w:r>
      <w:r w:rsidRPr="00CC35D6">
        <w:rPr>
          <w:sz w:val="28"/>
        </w:rPr>
        <w:t>,</w:t>
      </w:r>
      <w:r w:rsidRPr="0073314C">
        <w:rPr>
          <w:rStyle w:val="a5"/>
          <w:sz w:val="28"/>
          <w:lang w:val="en-US"/>
        </w:rPr>
        <w:footnoteReference w:id="2"/>
      </w:r>
      <w:r w:rsidRPr="00CC35D6">
        <w:rPr>
          <w:sz w:val="28"/>
        </w:rPr>
        <w:t xml:space="preserve"> </w:t>
      </w:r>
      <w:r>
        <w:rPr>
          <w:sz w:val="28"/>
        </w:rPr>
        <w:t>Сергей Селезнёв</w:t>
      </w:r>
      <w:r w:rsidRPr="0073314C">
        <w:rPr>
          <w:rStyle w:val="a5"/>
          <w:sz w:val="28"/>
          <w:lang w:val="en-US"/>
        </w:rPr>
        <w:footnoteReference w:id="3"/>
      </w:r>
    </w:p>
    <w:p w:rsidR="00CC35D6" w:rsidRPr="00CC35D6" w:rsidRDefault="00CC35D6" w:rsidP="00CC35D6">
      <w:pPr>
        <w:spacing w:line="360" w:lineRule="auto"/>
        <w:ind w:firstLine="709"/>
        <w:jc w:val="both"/>
      </w:pPr>
    </w:p>
    <w:p w:rsidR="007315C0" w:rsidRDefault="00CC35D6" w:rsidP="00970FD0">
      <w:pPr>
        <w:ind w:firstLine="708"/>
        <w:jc w:val="both"/>
      </w:pPr>
      <w:r>
        <w:t xml:space="preserve">В последние годы </w:t>
      </w:r>
      <w:r w:rsidR="00970FD0">
        <w:t>как в развитых странах, так и в странах с формирующимися рынками наметилось несколько тенденций, которые в недалеком будущем смогут существенно изменить денежно-кредитный ландшафт. К ним относятся снижение доли наличных платежей, развитие финтеха и бигтеха, быстрый рост популярнос</w:t>
      </w:r>
      <w:r w:rsidR="00EE54F9">
        <w:t xml:space="preserve">ти криптоактивов. В отсутствие адекватной реакции со стороны регуляторов эти тренды могут снизить эффективность денежно-кредитной политики и представлять угрозу для финансовой стабильности. В ответ на эти вызовы центральные банки рассматривают создание собственных цифровых валют (ЦВЦБ). </w:t>
      </w:r>
      <w:r w:rsidR="002F2C9D">
        <w:t xml:space="preserve">ЦВЦБ </w:t>
      </w:r>
      <w:r w:rsidR="002F2C9D">
        <w:t xml:space="preserve">– это </w:t>
      </w:r>
      <w:r w:rsidR="002F2C9D">
        <w:t>близки</w:t>
      </w:r>
      <w:r w:rsidR="002F2C9D">
        <w:t>й</w:t>
      </w:r>
      <w:r w:rsidR="002F2C9D">
        <w:t xml:space="preserve"> аналог</w:t>
      </w:r>
      <w:r w:rsidR="002F2C9D">
        <w:t xml:space="preserve"> наличных денег и банковских карт.</w:t>
      </w:r>
      <w:r w:rsidR="002F2C9D">
        <w:t xml:space="preserve"> </w:t>
      </w:r>
      <w:r w:rsidR="00EE54F9">
        <w:t>Являясь обязательством центрального банка, ЦВЦБ будет сочетать в себе свойства наличных и безналичных денег</w:t>
      </w:r>
      <w:r w:rsidR="00EE54F9">
        <w:rPr>
          <w:rStyle w:val="a5"/>
        </w:rPr>
        <w:footnoteReference w:id="4"/>
      </w:r>
      <w:r w:rsidR="00EE54F9">
        <w:t xml:space="preserve">. </w:t>
      </w:r>
    </w:p>
    <w:p w:rsidR="00EE54F9" w:rsidRDefault="0074109E" w:rsidP="00970FD0">
      <w:pPr>
        <w:ind w:firstLine="708"/>
        <w:jc w:val="both"/>
      </w:pPr>
      <w:r>
        <w:t xml:space="preserve">Банка России исследует вопрос введения ЦВЦБ в рамках проекта «Цифровой рубль». На данный момент решения о введении не принято. Основные причины введения ЦВЦБ в России: (1) развитие цифровой экономики, в особенности, снижение </w:t>
      </w:r>
      <w:proofErr w:type="spellStart"/>
      <w:r>
        <w:t>трансакционных</w:t>
      </w:r>
      <w:proofErr w:type="spellEnd"/>
      <w:r>
        <w:t xml:space="preserve"> издержек для потребителей (в этом смысле цифровой рубль </w:t>
      </w:r>
      <w:r w:rsidR="00BA14C7">
        <w:t>станет в один ряд с такими проектами</w:t>
      </w:r>
      <w:r>
        <w:t xml:space="preserve"> как Система быстрых платежей, Цифровой профиль, </w:t>
      </w:r>
      <w:r w:rsidR="00BA14C7">
        <w:t xml:space="preserve">Платформа «Знай своего клиента» и другие), (2) поддержание конкурентоспособности российской экономики в условиях возможного введения ЦВЦБ в других странах в ближайшем будущем и быстрых технологических инноваций в цифровой сфере. В Консультативном докладе «Цифровой рубль» (Банк России, 2020) ЦБ обозначил основные принципы эмиссии ЦВЦБ и ее свойства, а также представил ряд возможных моделей технологической реализации проекта (от модели А – оптовой ЦВЦБ, до модели </w:t>
      </w:r>
      <w:r w:rsidR="00BA14C7">
        <w:rPr>
          <w:lang w:val="en-US"/>
        </w:rPr>
        <w:t>D</w:t>
      </w:r>
      <w:r w:rsidR="00BA14C7" w:rsidRPr="00BA14C7">
        <w:t xml:space="preserve"> </w:t>
      </w:r>
      <w:r w:rsidR="00BA14C7">
        <w:t>–</w:t>
      </w:r>
      <w:r w:rsidR="00BA14C7" w:rsidRPr="00BA14C7">
        <w:t xml:space="preserve"> </w:t>
      </w:r>
      <w:r w:rsidR="00BA14C7">
        <w:t xml:space="preserve">смешанной, предполагающей участие банков (открытие и обслуживание счетов в цифровом рубле). В апреле 2021 г. была выпущена Концепция цифрового рубля (Банк России, 2021), в которой была указана предпочтительная модель ЦВЦБ (модель </w:t>
      </w:r>
      <w:r w:rsidR="00BA14C7">
        <w:rPr>
          <w:lang w:val="en-US"/>
        </w:rPr>
        <w:t>D</w:t>
      </w:r>
      <w:r w:rsidR="00BA14C7" w:rsidRPr="00BA14C7">
        <w:t xml:space="preserve">), </w:t>
      </w:r>
      <w:r w:rsidR="00BA14C7">
        <w:t xml:space="preserve">представлены схемы эмиссии и обновленный график проекта, предполагающий, что пилотная фаза начнется в 2022 году. </w:t>
      </w:r>
    </w:p>
    <w:p w:rsidR="00BA14C7" w:rsidRDefault="00BA14C7" w:rsidP="00970FD0">
      <w:pPr>
        <w:ind w:firstLine="708"/>
        <w:jc w:val="both"/>
      </w:pPr>
      <w:r>
        <w:t xml:space="preserve">Основным предметом исследований ЦВЦБ в России являются макроэкономические последствия от введения цифрового рубля. В работе (Грищенко и др., 2021а) изучено влияние введения цифрового рубля на ликвидность банковского сектора и динамику процентных ставок. Авторы отмечают, что влияние на ликвидность банков будет компенсировано операциями центрального банка. Это может привести к переходу от структурного профицита ликвидности к структурному дефициту. В последующих работах было показано, что этот переход может повлиять на процентные ставки </w:t>
      </w:r>
      <w:r>
        <w:t xml:space="preserve">денежного </w:t>
      </w:r>
      <w:r>
        <w:t xml:space="preserve">рынка и сказаться, в конечном счете, на ставках по кредитам банков (Гришина и Пономаренко, </w:t>
      </w:r>
      <w:r>
        <w:lastRenderedPageBreak/>
        <w:t xml:space="preserve">2021). </w:t>
      </w:r>
      <w:r w:rsidR="002F2C9D">
        <w:t xml:space="preserve">В то же время объем компенсирующих операций центрального банка будет зависеть от спроса на цифровой рубль и изменения структуры денежной массы. </w:t>
      </w:r>
    </w:p>
    <w:p w:rsidR="002F2C9D" w:rsidRDefault="002F2C9D" w:rsidP="00970FD0">
      <w:pPr>
        <w:ind w:firstLine="708"/>
        <w:jc w:val="both"/>
      </w:pPr>
      <w:r>
        <w:t>В данной работе мы пытаемся оценить долю цифрового рубля в платежах домохозяйств используя «метод атрибутов платежных инструментов». В последние годы он не только доминирует в литературе, посвященной платежным инструментам, но и использовался другими авторами для оценки спроса на ЦВЦБ в Канаде</w:t>
      </w:r>
      <w:r w:rsidRPr="002F2C9D">
        <w:t xml:space="preserve"> (</w:t>
      </w:r>
      <w:proofErr w:type="spellStart"/>
      <w:r>
        <w:t>Хен</w:t>
      </w:r>
      <w:proofErr w:type="spellEnd"/>
      <w:r>
        <w:t xml:space="preserve"> и др., 2020). Атрибуты платежных средств </w:t>
      </w:r>
      <w:proofErr w:type="spellStart"/>
      <w:r>
        <w:t>ненаблюдаемы</w:t>
      </w:r>
      <w:proofErr w:type="spellEnd"/>
      <w:r>
        <w:t xml:space="preserve">, но могут быть оценены методами выявления потребительских предпочтений. Мы используем прямой и косвенный методы: последний в качестве базового, первый – для проверки робастности. В рамках прямого метода респондентам задают вопрос о факторах, влияющих на выбор платежного средства, которые они считают самыми важными. </w:t>
      </w:r>
      <w:r w:rsidR="00627BBA">
        <w:t xml:space="preserve">Это позволяет сформировать набор факторов, влияющих на решение об использовании того или иного метода платежа в конкретной ситуации. В рамках косвенного метода решается обратная задача: респондентам предлагается выбрать факторы из списка, </w:t>
      </w:r>
      <w:r w:rsidR="00627BBA">
        <w:t xml:space="preserve">заранее составленного </w:t>
      </w:r>
      <w:r w:rsidR="00627BBA">
        <w:t xml:space="preserve">на основе международного опыта и экономической логики. Респондентов просят </w:t>
      </w:r>
      <w:proofErr w:type="spellStart"/>
      <w:r w:rsidR="00627BBA">
        <w:t>проранжировать</w:t>
      </w:r>
      <w:proofErr w:type="spellEnd"/>
      <w:r w:rsidR="00627BBA">
        <w:t xml:space="preserve"> такие атрибуты, как безопасность, удобство, стоимость использования, доступность и способность контролировать издержки по шкале от 0 до 3. </w:t>
      </w:r>
    </w:p>
    <w:p w:rsidR="00627BBA" w:rsidRDefault="00627BBA" w:rsidP="00970FD0">
      <w:pPr>
        <w:ind w:firstLine="708"/>
        <w:jc w:val="both"/>
      </w:pPr>
      <w:r>
        <w:t>Оценив атрибуты существующих платежных средств и сделав ряд предпосылок об атрибутах цифрового рубля, мы оцениваем спрос на цифровой рубль (как долю цифрового рубля в трансакциях). Мы используем модель «упорядоченный пробит» (</w:t>
      </w:r>
      <w:r>
        <w:rPr>
          <w:lang w:val="en-US"/>
        </w:rPr>
        <w:t>ordered</w:t>
      </w:r>
      <w:r w:rsidRPr="00627BBA">
        <w:t xml:space="preserve"> </w:t>
      </w:r>
      <w:proofErr w:type="spellStart"/>
      <w:r>
        <w:rPr>
          <w:lang w:val="en-US"/>
        </w:rPr>
        <w:t>probit</w:t>
      </w:r>
      <w:proofErr w:type="spellEnd"/>
      <w:r>
        <w:t>)</w:t>
      </w:r>
      <w:r w:rsidRPr="00627BBA">
        <w:t xml:space="preserve">, </w:t>
      </w:r>
      <w:r>
        <w:t xml:space="preserve">оцененную на данных опроса, проведенного Департаментом наличного денежного обращения Банка России в 2021 году. </w:t>
      </w:r>
    </w:p>
    <w:p w:rsidR="00627BBA" w:rsidRPr="00627BBA" w:rsidRDefault="00627BBA" w:rsidP="00970FD0">
      <w:pPr>
        <w:ind w:firstLine="708"/>
        <w:jc w:val="both"/>
      </w:pPr>
      <w:r>
        <w:t xml:space="preserve">В зависимости от конкретного сценария, доля цифрового рубля в трансакциях варьируется от 18 до 21%, что предполагает некоторый </w:t>
      </w:r>
      <w:proofErr w:type="spellStart"/>
      <w:r>
        <w:t>переток</w:t>
      </w:r>
      <w:proofErr w:type="spellEnd"/>
      <w:r>
        <w:t xml:space="preserve"> средств из наличных денег и банковских депозитов (общий объем денег в обращении предполагается неизменным). В то же время, эти результаты должны восприниматься с осторожностью, так как мы не оцениваем напрямую потребности банков в ликвидности и избегаем утверждений относительно будущей доли цифрового рубля в денежных агрегатах (и других переменных запаса), поскольку это потребует введения дополнительных предпосылок и оценки скорости обращения различных денежных агрегатов, а также других факторов спроса на деньги. </w:t>
      </w:r>
      <w:bookmarkStart w:id="0" w:name="_GoBack"/>
      <w:bookmarkEnd w:id="0"/>
    </w:p>
    <w:sectPr w:rsidR="00627BBA" w:rsidRPr="0062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F6B" w:rsidRDefault="00334F6B" w:rsidP="00CC35D6">
      <w:pPr>
        <w:spacing w:after="0" w:line="240" w:lineRule="auto"/>
      </w:pPr>
      <w:r>
        <w:separator/>
      </w:r>
    </w:p>
  </w:endnote>
  <w:endnote w:type="continuationSeparator" w:id="0">
    <w:p w:rsidR="00334F6B" w:rsidRDefault="00334F6B" w:rsidP="00CC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F6B" w:rsidRDefault="00334F6B" w:rsidP="00CC35D6">
      <w:pPr>
        <w:spacing w:after="0" w:line="240" w:lineRule="auto"/>
      </w:pPr>
      <w:r>
        <w:separator/>
      </w:r>
    </w:p>
  </w:footnote>
  <w:footnote w:type="continuationSeparator" w:id="0">
    <w:p w:rsidR="00334F6B" w:rsidRDefault="00334F6B" w:rsidP="00CC35D6">
      <w:pPr>
        <w:spacing w:after="0" w:line="240" w:lineRule="auto"/>
      </w:pPr>
      <w:r>
        <w:continuationSeparator/>
      </w:r>
    </w:p>
  </w:footnote>
  <w:footnote w:id="1">
    <w:p w:rsidR="00CC35D6" w:rsidRPr="00EE54F9" w:rsidRDefault="00CC35D6" w:rsidP="00C24883">
      <w:pPr>
        <w:spacing w:after="0"/>
        <w:rPr>
          <w:rFonts w:cs="Times New Roman"/>
          <w:sz w:val="28"/>
        </w:rPr>
      </w:pPr>
      <w:r w:rsidRPr="00DA315F">
        <w:rPr>
          <w:rStyle w:val="a5"/>
          <w:rFonts w:cs="Times New Roman"/>
          <w:sz w:val="20"/>
          <w:szCs w:val="20"/>
        </w:rPr>
        <w:footnoteRef/>
      </w:r>
      <w:r w:rsidRPr="00EE54F9">
        <w:rPr>
          <w:rFonts w:cs="Times New Roman"/>
          <w:sz w:val="20"/>
          <w:szCs w:val="20"/>
        </w:rPr>
        <w:t xml:space="preserve"> </w:t>
      </w:r>
      <w:r w:rsidR="00EE54F9">
        <w:rPr>
          <w:rFonts w:cs="Times New Roman"/>
          <w:sz w:val="20"/>
          <w:szCs w:val="20"/>
        </w:rPr>
        <w:t>Департамент исследований и прогнозирования, Банк России</w:t>
      </w:r>
      <w:r w:rsidRPr="00EE54F9">
        <w:rPr>
          <w:rFonts w:cs="Times New Roman"/>
          <w:sz w:val="20"/>
          <w:szCs w:val="20"/>
        </w:rPr>
        <w:t xml:space="preserve">; </w:t>
      </w:r>
      <w:hyperlink r:id="rId1" w:history="1">
        <w:r w:rsidRPr="00DA315F">
          <w:rPr>
            <w:rStyle w:val="a6"/>
            <w:rFonts w:cs="Times New Roman"/>
            <w:sz w:val="20"/>
            <w:szCs w:val="20"/>
            <w:lang w:val="en-US"/>
          </w:rPr>
          <w:t>grishchenkovo</w:t>
        </w:r>
        <w:r w:rsidRPr="00EE54F9">
          <w:rPr>
            <w:rStyle w:val="a6"/>
            <w:rFonts w:cs="Times New Roman"/>
            <w:sz w:val="20"/>
            <w:szCs w:val="20"/>
          </w:rPr>
          <w:t>@</w:t>
        </w:r>
        <w:r w:rsidRPr="00DA315F">
          <w:rPr>
            <w:rStyle w:val="a6"/>
            <w:rFonts w:cs="Times New Roman"/>
            <w:sz w:val="20"/>
            <w:szCs w:val="20"/>
            <w:lang w:val="en-US"/>
          </w:rPr>
          <w:t>cbr</w:t>
        </w:r>
        <w:r w:rsidRPr="00EE54F9">
          <w:rPr>
            <w:rStyle w:val="a6"/>
            <w:rFonts w:cs="Times New Roman"/>
            <w:sz w:val="20"/>
            <w:szCs w:val="20"/>
          </w:rPr>
          <w:t>.</w:t>
        </w:r>
        <w:r w:rsidRPr="00DA315F">
          <w:rPr>
            <w:rStyle w:val="a6"/>
            <w:rFonts w:cs="Times New Roman"/>
            <w:sz w:val="20"/>
            <w:szCs w:val="20"/>
            <w:lang w:val="en-US"/>
          </w:rPr>
          <w:t>ru</w:t>
        </w:r>
      </w:hyperlink>
      <w:r w:rsidRPr="00EE54F9">
        <w:rPr>
          <w:rFonts w:cs="Times New Roman"/>
          <w:sz w:val="20"/>
          <w:szCs w:val="20"/>
        </w:rPr>
        <w:t xml:space="preserve">; </w:t>
      </w:r>
      <w:hyperlink r:id="rId2" w:history="1">
        <w:r w:rsidRPr="00DA315F">
          <w:rPr>
            <w:rStyle w:val="a6"/>
            <w:rFonts w:cs="Times New Roman"/>
            <w:sz w:val="20"/>
            <w:szCs w:val="20"/>
            <w:lang w:val="en-US"/>
          </w:rPr>
          <w:t>gvo</w:t>
        </w:r>
        <w:r w:rsidRPr="00EE54F9">
          <w:rPr>
            <w:rStyle w:val="a6"/>
            <w:rFonts w:cs="Times New Roman"/>
            <w:sz w:val="20"/>
            <w:szCs w:val="20"/>
          </w:rPr>
          <w:t>@</w:t>
        </w:r>
        <w:r w:rsidRPr="00DA315F">
          <w:rPr>
            <w:rStyle w:val="a6"/>
            <w:rFonts w:cs="Times New Roman"/>
            <w:sz w:val="20"/>
            <w:szCs w:val="20"/>
            <w:lang w:val="en-US"/>
          </w:rPr>
          <w:t>mail</w:t>
        </w:r>
        <w:r w:rsidRPr="00EE54F9">
          <w:rPr>
            <w:rStyle w:val="a6"/>
            <w:rFonts w:cs="Times New Roman"/>
            <w:sz w:val="20"/>
            <w:szCs w:val="20"/>
          </w:rPr>
          <w:t>.</w:t>
        </w:r>
        <w:r w:rsidRPr="00DA315F">
          <w:rPr>
            <w:rStyle w:val="a6"/>
            <w:rFonts w:cs="Times New Roman"/>
            <w:sz w:val="20"/>
            <w:szCs w:val="20"/>
            <w:lang w:val="en-US"/>
          </w:rPr>
          <w:t>cbr</w:t>
        </w:r>
        <w:r w:rsidRPr="00EE54F9">
          <w:rPr>
            <w:rStyle w:val="a6"/>
            <w:rFonts w:cs="Times New Roman"/>
            <w:sz w:val="20"/>
            <w:szCs w:val="20"/>
          </w:rPr>
          <w:t>.</w:t>
        </w:r>
        <w:proofErr w:type="spellStart"/>
        <w:r w:rsidRPr="00DA315F">
          <w:rPr>
            <w:rStyle w:val="a6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EE54F9">
        <w:rPr>
          <w:rFonts w:cs="Times New Roman"/>
          <w:sz w:val="20"/>
          <w:szCs w:val="20"/>
        </w:rPr>
        <w:t>.</w:t>
      </w:r>
    </w:p>
  </w:footnote>
  <w:footnote w:id="2">
    <w:p w:rsidR="00CC35D6" w:rsidRPr="00EE54F9" w:rsidRDefault="00CC35D6" w:rsidP="00C24883">
      <w:pPr>
        <w:pStyle w:val="a3"/>
      </w:pPr>
      <w:r w:rsidRPr="00DA315F">
        <w:rPr>
          <w:rStyle w:val="a5"/>
          <w:rFonts w:ascii="Times New Roman" w:hAnsi="Times New Roman" w:cs="Times New Roman"/>
        </w:rPr>
        <w:footnoteRef/>
      </w:r>
      <w:r w:rsidRPr="00EE54F9">
        <w:rPr>
          <w:rFonts w:ascii="Times New Roman" w:hAnsi="Times New Roman" w:cs="Times New Roman"/>
        </w:rPr>
        <w:t xml:space="preserve"> </w:t>
      </w:r>
      <w:r w:rsidR="00EE54F9" w:rsidRPr="00EE54F9">
        <w:rPr>
          <w:rFonts w:ascii="Times New Roman" w:hAnsi="Times New Roman" w:cs="Times New Roman"/>
        </w:rPr>
        <w:t>Департамент исследований и прогнозирования, Банк России</w:t>
      </w:r>
      <w:r w:rsidRPr="00EE54F9">
        <w:rPr>
          <w:rFonts w:ascii="Times New Roman" w:hAnsi="Times New Roman" w:cs="Times New Roman"/>
        </w:rPr>
        <w:t xml:space="preserve">; </w:t>
      </w:r>
      <w:hyperlink r:id="rId3" w:history="1">
        <w:r w:rsidRPr="00DC22BD">
          <w:rPr>
            <w:rStyle w:val="a6"/>
            <w:rFonts w:ascii="Times New Roman" w:hAnsi="Times New Roman" w:cs="Times New Roman"/>
            <w:lang w:val="en-GB"/>
          </w:rPr>
          <w:t>ponomarenkoaa</w:t>
        </w:r>
        <w:r w:rsidRPr="00EE54F9">
          <w:rPr>
            <w:rStyle w:val="a6"/>
            <w:rFonts w:ascii="Times New Roman" w:hAnsi="Times New Roman" w:cs="Times New Roman"/>
          </w:rPr>
          <w:t>@</w:t>
        </w:r>
        <w:r w:rsidRPr="00DC22BD">
          <w:rPr>
            <w:rStyle w:val="a6"/>
            <w:rFonts w:ascii="Times New Roman" w:hAnsi="Times New Roman" w:cs="Times New Roman"/>
            <w:lang w:val="en-GB"/>
          </w:rPr>
          <w:t>cbr</w:t>
        </w:r>
        <w:r w:rsidRPr="00EE54F9">
          <w:rPr>
            <w:rStyle w:val="a6"/>
            <w:rFonts w:ascii="Times New Roman" w:hAnsi="Times New Roman" w:cs="Times New Roman"/>
          </w:rPr>
          <w:t>.</w:t>
        </w:r>
        <w:r w:rsidRPr="00DC22BD">
          <w:rPr>
            <w:rStyle w:val="a6"/>
            <w:rFonts w:ascii="Times New Roman" w:hAnsi="Times New Roman" w:cs="Times New Roman"/>
            <w:lang w:val="en-GB"/>
          </w:rPr>
          <w:t>ru</w:t>
        </w:r>
      </w:hyperlink>
      <w:r w:rsidRPr="00EE54F9">
        <w:rPr>
          <w:rFonts w:ascii="Times New Roman" w:hAnsi="Times New Roman" w:cs="Times New Roman"/>
        </w:rPr>
        <w:t>;</w:t>
      </w:r>
      <w:r w:rsidR="00EE54F9">
        <w:t xml:space="preserve"> </w:t>
      </w:r>
      <w:r>
        <w:rPr>
          <w:rStyle w:val="a6"/>
          <w:rFonts w:ascii="Times New Roman" w:hAnsi="Times New Roman" w:cs="Times New Roman"/>
          <w:lang w:val="en-GB"/>
        </w:rPr>
        <w:t>ponomarenkoaa</w:t>
      </w:r>
      <w:r w:rsidRPr="00EE54F9"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GB"/>
        </w:rPr>
        <w:t>mail</w:t>
      </w:r>
      <w:r w:rsidRPr="00EE54F9">
        <w:rPr>
          <w:rStyle w:val="a6"/>
          <w:rFonts w:ascii="Times New Roman" w:hAnsi="Times New Roman" w:cs="Times New Roman"/>
        </w:rPr>
        <w:t>.</w:t>
      </w:r>
      <w:r>
        <w:rPr>
          <w:rStyle w:val="a6"/>
          <w:rFonts w:ascii="Times New Roman" w:hAnsi="Times New Roman" w:cs="Times New Roman"/>
          <w:lang w:val="en-GB"/>
        </w:rPr>
        <w:t>cbr</w:t>
      </w:r>
      <w:r w:rsidRPr="00EE54F9">
        <w:rPr>
          <w:rStyle w:val="a6"/>
          <w:rFonts w:ascii="Times New Roman" w:hAnsi="Times New Roman" w:cs="Times New Roman"/>
        </w:rPr>
        <w:t>.</w:t>
      </w:r>
      <w:r>
        <w:rPr>
          <w:rStyle w:val="a6"/>
          <w:rFonts w:ascii="Times New Roman" w:hAnsi="Times New Roman" w:cs="Times New Roman"/>
          <w:lang w:val="en-GB"/>
        </w:rPr>
        <w:t>ru</w:t>
      </w:r>
    </w:p>
  </w:footnote>
  <w:footnote w:id="3">
    <w:p w:rsidR="00CC35D6" w:rsidRPr="00EE54F9" w:rsidRDefault="00CC35D6" w:rsidP="00C24883">
      <w:pPr>
        <w:spacing w:after="0"/>
        <w:rPr>
          <w:rFonts w:cs="Times New Roman"/>
          <w:sz w:val="20"/>
          <w:szCs w:val="20"/>
        </w:rPr>
      </w:pPr>
      <w:r w:rsidRPr="00DA315F">
        <w:rPr>
          <w:rStyle w:val="a5"/>
          <w:rFonts w:cs="Times New Roman"/>
          <w:sz w:val="20"/>
          <w:szCs w:val="20"/>
        </w:rPr>
        <w:footnoteRef/>
      </w:r>
      <w:r w:rsidRPr="00EE54F9">
        <w:rPr>
          <w:rFonts w:cs="Times New Roman"/>
          <w:sz w:val="20"/>
          <w:szCs w:val="20"/>
        </w:rPr>
        <w:t xml:space="preserve"> </w:t>
      </w:r>
      <w:r w:rsidR="00EE54F9" w:rsidRPr="00EE54F9">
        <w:rPr>
          <w:rFonts w:cs="Times New Roman"/>
          <w:sz w:val="20"/>
          <w:szCs w:val="20"/>
        </w:rPr>
        <w:t>Департамент исследований и прогнозирования, Банк России</w:t>
      </w:r>
      <w:r w:rsidRPr="00EE54F9">
        <w:rPr>
          <w:rFonts w:cs="Times New Roman"/>
          <w:sz w:val="20"/>
          <w:szCs w:val="20"/>
        </w:rPr>
        <w:t xml:space="preserve">; </w:t>
      </w:r>
      <w:hyperlink r:id="rId4" w:history="1">
        <w:r w:rsidRPr="00DC22BD">
          <w:rPr>
            <w:rStyle w:val="a6"/>
            <w:rFonts w:cs="Times New Roman"/>
            <w:sz w:val="20"/>
            <w:szCs w:val="20"/>
            <w:lang w:val="en-US"/>
          </w:rPr>
          <w:t>s</w:t>
        </w:r>
        <w:r w:rsidRPr="00DC22BD">
          <w:rPr>
            <w:rStyle w:val="a6"/>
            <w:rFonts w:cs="Times New Roman"/>
            <w:sz w:val="20"/>
            <w:szCs w:val="20"/>
            <w:lang w:val="en-GB"/>
          </w:rPr>
          <w:t>eleznevsm</w:t>
        </w:r>
        <w:r w:rsidRPr="00EE54F9">
          <w:rPr>
            <w:rStyle w:val="a6"/>
            <w:rFonts w:cs="Times New Roman"/>
            <w:sz w:val="20"/>
            <w:szCs w:val="20"/>
          </w:rPr>
          <w:t>@</w:t>
        </w:r>
        <w:r w:rsidRPr="00DC22BD">
          <w:rPr>
            <w:rStyle w:val="a6"/>
            <w:rFonts w:cs="Times New Roman"/>
            <w:sz w:val="20"/>
            <w:szCs w:val="20"/>
            <w:lang w:val="en-GB"/>
          </w:rPr>
          <w:t>cbr</w:t>
        </w:r>
        <w:r w:rsidRPr="00EE54F9">
          <w:rPr>
            <w:rStyle w:val="a6"/>
            <w:rFonts w:cs="Times New Roman"/>
            <w:sz w:val="20"/>
            <w:szCs w:val="20"/>
          </w:rPr>
          <w:t>.</w:t>
        </w:r>
        <w:r w:rsidRPr="00DC22BD">
          <w:rPr>
            <w:rStyle w:val="a6"/>
            <w:rFonts w:cs="Times New Roman"/>
            <w:sz w:val="20"/>
            <w:szCs w:val="20"/>
            <w:lang w:val="en-GB"/>
          </w:rPr>
          <w:t>ru</w:t>
        </w:r>
      </w:hyperlink>
      <w:r w:rsidRPr="00EE54F9">
        <w:rPr>
          <w:rFonts w:cs="Times New Roman"/>
          <w:sz w:val="20"/>
          <w:szCs w:val="20"/>
        </w:rPr>
        <w:t xml:space="preserve">; </w:t>
      </w:r>
      <w:hyperlink r:id="rId5" w:history="1">
        <w:r w:rsidRPr="00DC22BD">
          <w:rPr>
            <w:rStyle w:val="a6"/>
            <w:rFonts w:cs="Times New Roman"/>
            <w:sz w:val="20"/>
            <w:szCs w:val="20"/>
            <w:lang w:val="en-US"/>
          </w:rPr>
          <w:t>seleznevsm</w:t>
        </w:r>
        <w:r w:rsidRPr="00EE54F9">
          <w:rPr>
            <w:rStyle w:val="a6"/>
            <w:rFonts w:cs="Times New Roman"/>
            <w:sz w:val="20"/>
            <w:szCs w:val="20"/>
          </w:rPr>
          <w:t>@</w:t>
        </w:r>
        <w:r w:rsidRPr="00DC22BD">
          <w:rPr>
            <w:rStyle w:val="a6"/>
            <w:rFonts w:cs="Times New Roman"/>
            <w:sz w:val="20"/>
            <w:szCs w:val="20"/>
            <w:lang w:val="en-US"/>
          </w:rPr>
          <w:t>mail</w:t>
        </w:r>
        <w:r w:rsidRPr="00EE54F9">
          <w:rPr>
            <w:rStyle w:val="a6"/>
            <w:rFonts w:cs="Times New Roman"/>
            <w:sz w:val="20"/>
            <w:szCs w:val="20"/>
          </w:rPr>
          <w:t>.</w:t>
        </w:r>
        <w:r w:rsidRPr="00DC22BD">
          <w:rPr>
            <w:rStyle w:val="a6"/>
            <w:rFonts w:cs="Times New Roman"/>
            <w:sz w:val="20"/>
            <w:szCs w:val="20"/>
            <w:lang w:val="en-US"/>
          </w:rPr>
          <w:t>cbr</w:t>
        </w:r>
        <w:r w:rsidRPr="00EE54F9">
          <w:rPr>
            <w:rStyle w:val="a6"/>
            <w:rFonts w:cs="Times New Roman"/>
            <w:sz w:val="20"/>
            <w:szCs w:val="20"/>
          </w:rPr>
          <w:t>.</w:t>
        </w:r>
        <w:proofErr w:type="spellStart"/>
        <w:r w:rsidRPr="00DC22BD">
          <w:rPr>
            <w:rStyle w:val="a6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EE54F9">
        <w:rPr>
          <w:rFonts w:cs="Times New Roman"/>
          <w:sz w:val="20"/>
          <w:szCs w:val="20"/>
        </w:rPr>
        <w:t xml:space="preserve"> </w:t>
      </w:r>
    </w:p>
  </w:footnote>
  <w:footnote w:id="4">
    <w:p w:rsidR="00EE54F9" w:rsidRPr="00EE54F9" w:rsidRDefault="00EE54F9" w:rsidP="00C24883">
      <w:pPr>
        <w:pStyle w:val="a3"/>
        <w:rPr>
          <w:rFonts w:ascii="Times New Roman" w:hAnsi="Times New Roman" w:cs="Times New Roman"/>
        </w:rPr>
      </w:pPr>
      <w:r w:rsidRPr="00EE54F9">
        <w:rPr>
          <w:rStyle w:val="a5"/>
          <w:rFonts w:ascii="Times New Roman" w:hAnsi="Times New Roman" w:cs="Times New Roman"/>
        </w:rPr>
        <w:footnoteRef/>
      </w:r>
      <w:r w:rsidRPr="00EE54F9">
        <w:rPr>
          <w:rFonts w:ascii="Times New Roman" w:hAnsi="Times New Roman" w:cs="Times New Roman"/>
        </w:rPr>
        <w:t xml:space="preserve"> В фиатных денежных системах последние создаются в основном коммерческими банками в процессе кредитования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79"/>
    <w:rsid w:val="00107079"/>
    <w:rsid w:val="002F2C9D"/>
    <w:rsid w:val="00334F6B"/>
    <w:rsid w:val="00627BBA"/>
    <w:rsid w:val="006C675C"/>
    <w:rsid w:val="007315C0"/>
    <w:rsid w:val="0074109E"/>
    <w:rsid w:val="00970FD0"/>
    <w:rsid w:val="00BA14C7"/>
    <w:rsid w:val="00C24883"/>
    <w:rsid w:val="00CC35D6"/>
    <w:rsid w:val="00E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54FB"/>
  <w15:chartTrackingRefBased/>
  <w15:docId w15:val="{4FF9EFEC-819D-4E79-AA48-12A1D159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35D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C35D6"/>
    <w:rPr>
      <w:rFonts w:asciiTheme="minorHAnsi" w:hAnsiTheme="minorHAns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C35D6"/>
    <w:rPr>
      <w:vertAlign w:val="superscript"/>
    </w:rPr>
  </w:style>
  <w:style w:type="character" w:styleId="a6">
    <w:name w:val="Hyperlink"/>
    <w:basedOn w:val="a0"/>
    <w:uiPriority w:val="99"/>
    <w:unhideWhenUsed/>
    <w:rsid w:val="00CC35D6"/>
    <w:rPr>
      <w:color w:val="0563C1" w:themeColor="hyperlink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CC35D6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8">
    <w:name w:val="Подзаголовок Знак"/>
    <w:basedOn w:val="a0"/>
    <w:link w:val="a7"/>
    <w:uiPriority w:val="11"/>
    <w:rsid w:val="00CC35D6"/>
    <w:rPr>
      <w:rFonts w:asciiTheme="minorHAnsi" w:eastAsiaTheme="minorEastAsia" w:hAnsiTheme="minorHAnsi"/>
      <w:color w:val="5A5A5A" w:themeColor="text1" w:themeTint="A5"/>
      <w:spacing w:val="1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ponomarenkoaa@cbr.ru" TargetMode="External"/><Relationship Id="rId2" Type="http://schemas.openxmlformats.org/officeDocument/2006/relationships/hyperlink" Target="mailto:gvo@mail.cbr.ru" TargetMode="External"/><Relationship Id="rId1" Type="http://schemas.openxmlformats.org/officeDocument/2006/relationships/hyperlink" Target="mailto:grishchenkovo@cbr.ru" TargetMode="External"/><Relationship Id="rId5" Type="http://schemas.openxmlformats.org/officeDocument/2006/relationships/hyperlink" Target="mailto:seleznevsm@mail.cbr.ru" TargetMode="External"/><Relationship Id="rId4" Type="http://schemas.openxmlformats.org/officeDocument/2006/relationships/hyperlink" Target="mailto:seleznevsm@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1A1E4-1A30-4D9F-8ACF-C0BA42A8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of Russia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Vadim_Gri</dc:creator>
  <cp:keywords/>
  <dc:description/>
  <cp:lastModifiedBy>Vadim_Gri</cp:lastModifiedBy>
  <cp:revision>7</cp:revision>
  <dcterms:created xsi:type="dcterms:W3CDTF">2021-11-12T08:28:00Z</dcterms:created>
  <dcterms:modified xsi:type="dcterms:W3CDTF">2021-11-12T10:01:00Z</dcterms:modified>
</cp:coreProperties>
</file>