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A5E" w:rsidRDefault="00647A5E" w:rsidP="00647A5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5E">
        <w:rPr>
          <w:rFonts w:ascii="Times New Roman" w:hAnsi="Times New Roman" w:cs="Times New Roman"/>
          <w:b/>
          <w:sz w:val="28"/>
          <w:szCs w:val="28"/>
        </w:rPr>
        <w:t>Стратегическая стабильность: новый формат. 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47A5E">
        <w:rPr>
          <w:rFonts w:ascii="Times New Roman" w:hAnsi="Times New Roman" w:cs="Times New Roman"/>
          <w:b/>
          <w:sz w:val="28"/>
          <w:szCs w:val="28"/>
        </w:rPr>
        <w:t>инновационных технологий</w:t>
      </w:r>
    </w:p>
    <w:p w:rsidR="00DA6FB2" w:rsidRDefault="009548AD" w:rsidP="00DA6FB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Ромашкина Н.П.</w:t>
      </w:r>
    </w:p>
    <w:p w:rsidR="009548AD" w:rsidRPr="009548AD" w:rsidRDefault="009548AD" w:rsidP="009548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AD">
        <w:rPr>
          <w:rFonts w:ascii="Times New Roman" w:hAnsi="Times New Roman" w:cs="Times New Roman"/>
          <w:sz w:val="28"/>
          <w:szCs w:val="28"/>
        </w:rPr>
        <w:t>Перемены в политической, экономической и социально-культурной сферах в 21 веке все больше зависят от ускоренного развития новых информационно-коммуникационных технологий (ИКТ), под которыми понимаются процессы и методы взаимодействия с информацией, осуществляемые с применением устройств вычислительной техники и средств телекоммуникации. В условиях современной четвёртой индустриальной революции, объединяющей возможности промышленного производства, информационных технологий, а также интернета вещей и услуг, индекс конкурентоспособности экономики государств имеет высокий уровень корреляции с индексом развития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43F" w:rsidRPr="00BC243F" w:rsidRDefault="009548AD" w:rsidP="009548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AD">
        <w:rPr>
          <w:rFonts w:ascii="Times New Roman" w:hAnsi="Times New Roman" w:cs="Times New Roman"/>
          <w:sz w:val="28"/>
          <w:szCs w:val="28"/>
        </w:rPr>
        <w:t>Однако вместе с уникальными возможностями ИКТ несут и глобальные угрозы. Информационные диверсии в ИКТ-пространстве стали новым орудием негосударственных коллективных и индивидуальных субъектов. Кроме того, информационные методы превращается в важный элемент военного потенциала государств, дополняющий, а иногда и заменяющий обычные военные средства. ИКТ могут стать детонатором развязывания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hAnsi="Times New Roman" w:cs="Times New Roman"/>
          <w:sz w:val="28"/>
          <w:szCs w:val="28"/>
        </w:rPr>
        <w:t>межгосударственного военного конфликта, а кибервойны одних государств против других могут оказаться не менее разрушительными, чем традиционные. Ни одна страна в мире не может считать себя защищенной от трансграничных информационных угроз и не в состоянии решить проблемы информационной безопасности в одиночку.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hAnsi="Times New Roman" w:cs="Times New Roman"/>
          <w:sz w:val="28"/>
          <w:szCs w:val="28"/>
        </w:rPr>
        <w:t>Наличие этих опасностей представляет угрозу международному миру, а значит, требует незамедлительного поиска дополнительных механизмов международного управления.</w:t>
      </w:r>
    </w:p>
    <w:sectPr w:rsidR="00BC243F" w:rsidRPr="00BC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F"/>
    <w:rsid w:val="002460E7"/>
    <w:rsid w:val="00647A5E"/>
    <w:rsid w:val="009548AD"/>
    <w:rsid w:val="00BC243F"/>
    <w:rsid w:val="00DA6FB2"/>
    <w:rsid w:val="00F2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80CB"/>
  <w15:chartTrackingRefBased/>
  <w15:docId w15:val="{18F994DA-8EF6-456C-92BF-1BD45262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</cp:revision>
  <dcterms:created xsi:type="dcterms:W3CDTF">2021-11-17T13:27:00Z</dcterms:created>
  <dcterms:modified xsi:type="dcterms:W3CDTF">2021-11-25T12:57:00Z</dcterms:modified>
</cp:coreProperties>
</file>