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CE373C3" w:rsidR="00492813" w:rsidRPr="00BB2FE6" w:rsidRDefault="00BB2FE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ANNOTATION</w:t>
      </w:r>
    </w:p>
    <w:p w14:paraId="00000003" w14:textId="37188CE8" w:rsidR="00492813" w:rsidRPr="00F255FF" w:rsidRDefault="00747C9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«Identification of student agency in the ecosystem of </w:t>
      </w:r>
      <w:r w:rsidR="00F255FF" w:rsidRPr="00F255F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university</w:t>
      </w:r>
      <w:r w:rsidRPr="00F255F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self-government</w:t>
      </w:r>
      <w:r w:rsidR="00F255FF" w:rsidRPr="00F255F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»</w:t>
      </w:r>
      <w:r w:rsidRPr="00F255F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14:paraId="00000005" w14:textId="0CE14085" w:rsidR="00492813" w:rsidRPr="00F255FF" w:rsidRDefault="00747C9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words: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student agency, stakeholder status of a student, student self-government, educational ecosystem, phenomenological </w:t>
      </w:r>
      <w:r w:rsidR="00D23E58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description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inner and outer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factors of involvement.</w:t>
      </w:r>
    </w:p>
    <w:p w14:paraId="00000006" w14:textId="61318C8F" w:rsidR="00492813" w:rsidRPr="00F255FF" w:rsidRDefault="00747C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Research questions.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–1) What are the basic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manifestations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student agency in the modern university?  2) What are the actual contexts for forming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ecosystem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logics of development of student self-government in modern university? 3) What is the reasonable design of the research process for agency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manifestations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stakeholder status of a student? 4) What are the main factors for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involving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students into self-go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vernment?</w:t>
      </w:r>
    </w:p>
    <w:p w14:paraId="00000007" w14:textId="7C376AF1" w:rsidR="00492813" w:rsidRPr="00F255FF" w:rsidRDefault="00F255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Theoretical framework of the research. Concepts of agency in human activity.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(Archer, 2007, 2013; Bandura, 1989;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Emirbayer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1998). – Concepts of student </w:t>
      </w:r>
      <w:r w:rsidR="002E0D77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agency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, their stakeholder status in modern university (</w:t>
      </w:r>
      <w:r>
        <w:rPr>
          <w:rFonts w:ascii="Times New Roman" w:eastAsia="Times New Roman" w:hAnsi="Times New Roman" w:cs="Times New Roman"/>
          <w:sz w:val="28"/>
          <w:szCs w:val="28"/>
        </w:rPr>
        <w:t>Дроботенко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Альтергот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2013; </w:t>
      </w:r>
      <w:r>
        <w:rPr>
          <w:rFonts w:ascii="Times New Roman" w:eastAsia="Times New Roman" w:hAnsi="Times New Roman" w:cs="Times New Roman"/>
          <w:sz w:val="28"/>
          <w:szCs w:val="28"/>
        </w:rPr>
        <w:t>Ефимов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2020, 2021,2022;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Розовски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2015; Carey, 2013;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Lizzio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Wilson, 2009; Matthews, Dwyer, Hine, 2018;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Mainardes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E.W., Alves, H.,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Raposo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2012;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Lukasova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Kucharova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D.,2015). -</w:t>
      </w: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–Concepts of the essence of forming of educational ecosystems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(Global Education Futures, 2018, 2020,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Прикот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2021, 2022; </w:t>
      </w:r>
      <w:r>
        <w:rPr>
          <w:rFonts w:ascii="Times New Roman" w:eastAsia="Times New Roman" w:hAnsi="Times New Roman" w:cs="Times New Roman"/>
          <w:sz w:val="28"/>
          <w:szCs w:val="28"/>
        </w:rPr>
        <w:t>Экосистема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инноваций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…, 2020). – Hypothesis of "the strength of weak bonds" (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Granovetter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1973). – Methodology of </w:t>
      </w:r>
      <w:r w:rsidR="002E0D77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organizational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development based on the concepts of "circular </w:t>
      </w:r>
      <w:r w:rsidR="002E0D77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organizations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" and "five catapulting ideas" (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Акофф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1985, 2007). - Terms of modern </w:t>
      </w:r>
      <w:r w:rsidR="002E0D77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phenomenology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contextual framework for research design.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Гуссерль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,2012;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Квале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2003; </w:t>
      </w:r>
      <w:r>
        <w:rPr>
          <w:rFonts w:ascii="Times New Roman" w:eastAsia="Times New Roman" w:hAnsi="Times New Roman" w:cs="Times New Roman"/>
          <w:sz w:val="28"/>
          <w:szCs w:val="28"/>
        </w:rPr>
        <w:t>Улановский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2007, 2012). </w:t>
      </w:r>
    </w:p>
    <w:p w14:paraId="00000008" w14:textId="750E9B68" w:rsidR="00492813" w:rsidRPr="00F255FF" w:rsidRDefault="00747C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Research design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</w:t>
      </w:r>
      <w:r w:rsidR="002E0D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09" w14:textId="28BB5284" w:rsidR="00492813" w:rsidRPr="00F255FF" w:rsidRDefault="00747C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design layout we based upon the assumption that student agency is most clearly shown in their participation in student self-government, while its [self-government] stability and efficiency are </w:t>
      </w:r>
      <w:r w:rsidR="002E0D77">
        <w:rPr>
          <w:rFonts w:ascii="Times New Roman" w:eastAsia="Times New Roman" w:hAnsi="Times New Roman" w:cs="Times New Roman"/>
          <w:sz w:val="28"/>
          <w:szCs w:val="28"/>
          <w:lang w:val="en-US"/>
        </w:rPr>
        <w:t>determined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with their phenomenological ecosystem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features.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Thus,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phenomenological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description became our general research method which is based on direct observation of the research </w:t>
      </w:r>
      <w:r w:rsidR="002E0D77">
        <w:rPr>
          <w:rFonts w:ascii="Times New Roman" w:eastAsia="Times New Roman" w:hAnsi="Times New Roman" w:cs="Times New Roman"/>
          <w:sz w:val="28"/>
          <w:szCs w:val="28"/>
          <w:lang w:val="en-US"/>
        </w:rPr>
        <w:t>ob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ject.  We used the following procedures: involving observation, talks in focus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groups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extensive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narrative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guide</w:t>
      </w:r>
      <w:r w:rsidR="002E0D7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interviews, p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roject sessions. Respondents were academic managers of educational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programs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a number of Russian universities, university managers and functionaries, leaders of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activities. </w:t>
      </w:r>
    </w:p>
    <w:p w14:paraId="0000000A" w14:textId="49167B28" w:rsidR="00492813" w:rsidRPr="00D23E58" w:rsidRDefault="00747C9D">
      <w:pPr>
        <w:spacing w:line="360" w:lineRule="auto"/>
        <w:jc w:val="both"/>
        <w:rPr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However, considering unstable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veracity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high-quality phenomenologic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al researches, collection of traditional quantity data on relative aspects with google-forms became one of design layouts for the research.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Collected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were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processed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tools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correlation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factor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analysis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interpreted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mutual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verification at correlating with the data collected by phenomenological descriptions. </w:t>
      </w:r>
      <w:r w:rsidR="00F255FF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Researchers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held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three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surveys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among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students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9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Russian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universities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025BA">
        <w:rPr>
          <w:rFonts w:ascii="Times New Roman" w:eastAsia="Times New Roman" w:hAnsi="Times New Roman" w:cs="Times New Roman"/>
          <w:sz w:val="28"/>
          <w:szCs w:val="28"/>
          <w:lang w:val="en-US"/>
        </w:rPr>
        <w:t>representing</w:t>
      </w:r>
      <w:r w:rsidR="000025BA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basic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categories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Russian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higher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federal, national, research, basic, regional. 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1185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students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various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specialties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years</w:t>
      </w:r>
      <w:r w:rsidR="00D23E58" w:rsidRPr="00D23E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23E58">
        <w:rPr>
          <w:rFonts w:ascii="Times New Roman" w:eastAsia="Times New Roman" w:hAnsi="Times New Roman" w:cs="Times New Roman"/>
          <w:sz w:val="28"/>
          <w:szCs w:val="28"/>
          <w:lang w:val="en-US"/>
        </w:rPr>
        <w:t>took part in the survey.</w:t>
      </w:r>
    </w:p>
    <w:p w14:paraId="0000000B" w14:textId="0CB23400" w:rsidR="00492813" w:rsidRPr="00E87DAE" w:rsidRDefault="00D23E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Results</w:t>
      </w:r>
      <w:r w:rsidRPr="00E87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Pr="00E87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E87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research</w:t>
      </w:r>
      <w:r w:rsidRPr="00E87D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14:paraId="0000000C" w14:textId="62280306" w:rsidR="00492813" w:rsidRPr="00E87DAE" w:rsidRDefault="00D23E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13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The </w:t>
      </w:r>
      <w:r w:rsidR="00BB2FE6" w:rsidRPr="00213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first meaningful</w:t>
      </w:r>
      <w:r w:rsidRPr="00213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result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clarification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notions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agency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their</w:t>
      </w:r>
      <w:r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stakeholder</w:t>
      </w:r>
      <w:r w:rsidR="00213724" w:rsidRPr="002137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13724"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status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modern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university. The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trends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detected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within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research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reveal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increase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students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influence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making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managerial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decisions</w:t>
      </w:r>
      <w:r w:rsidR="00213724" w:rsidRP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which</w:t>
      </w:r>
      <w:proofErr w:type="gramEnd"/>
      <w:r w:rsidR="002137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make important effect on transforming basic processes in university. </w:t>
      </w:r>
    </w:p>
    <w:p w14:paraId="0000000D" w14:textId="7216D745" w:rsidR="00492813" w:rsidRPr="00213724" w:rsidRDefault="0021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213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second</w:t>
      </w:r>
      <w:r w:rsidRPr="002137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meaningful result 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is fixing evidences that the process of activation student agency is becoming international.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For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that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researchers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studied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contents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missions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strategic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programs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in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21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Russian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21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American</w:t>
      </w:r>
      <w:r w:rsidRPr="002137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universities, relative in status (national), number of students (20-30 thousand) and rating placements. No serious difference between Russian and American universities was found.</w:t>
      </w:r>
    </w:p>
    <w:p w14:paraId="0000000E" w14:textId="0E9FADCE" w:rsidR="00492813" w:rsidRPr="00E87DAE" w:rsidRDefault="0021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The third meaningful result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is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private and general factor </w:t>
      </w:r>
      <w:proofErr w:type="gramStart"/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hypotheses which</w:t>
      </w:r>
      <w:proofErr w:type="gramEnd"/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claimed that teachers’ and managers’ opinions as well as the contents and the format of corresponding rules and regulations, e.g. outer factors for the student community,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lastRenderedPageBreak/>
        <w:t xml:space="preserve">are factors which </w:t>
      </w:r>
      <w:r w:rsidR="000025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determine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students involvement into self-government as the main activity for their agency manifestation, </w:t>
      </w:r>
      <w:r w:rsidR="00BB2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were not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claimed. Basic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triggers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for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involvement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and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activation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student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A46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agency</w:t>
      </w:r>
      <w:r w:rsidR="005A4610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are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factors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which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lie within the community. This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evidences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decisive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role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processes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of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self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-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regulations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,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which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determine</w:t>
      </w:r>
      <w:r w:rsidR="002E0D77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ecosystem logics for self-development </w:t>
      </w:r>
      <w:r w:rsidR="00435F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of </w:t>
      </w:r>
      <w:r w:rsidR="00435FA3" w:rsidRP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the</w:t>
      </w:r>
      <w:r w:rsidR="002E0D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phenomenon explored. </w:t>
      </w:r>
    </w:p>
    <w:p w14:paraId="0000000F" w14:textId="77777777" w:rsidR="00492813" w:rsidRPr="00E87DAE" w:rsidRDefault="004928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15" w14:textId="613766D0" w:rsidR="00492813" w:rsidRPr="00E87DAE" w:rsidRDefault="00747C9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REFERENCE</w:t>
      </w:r>
      <w:bookmarkStart w:id="0" w:name="_GoBack"/>
      <w:bookmarkEnd w:id="0"/>
      <w:r w:rsid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14:paraId="00000016" w14:textId="77777777" w:rsidR="00492813" w:rsidRDefault="00492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1.Акофф Рассел Л.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 будущего корпорации: Пер. с англ. М.: Прогресс, 1985. - 327 с.</w:t>
      </w:r>
    </w:p>
    <w:p w14:paraId="00000018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2.Акофф Рассел Л., Магидсон Джейсон,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Эддисон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Герберт Дж. Идеализированное проектирование. Как предотвратить завтрашний кризис сегодня. Создание будущего организации: Пер. с англ. – Днепропетровск: Баланс Бизнес Букс, 2007. – 265 с.</w:t>
      </w:r>
    </w:p>
    <w:p w14:paraId="00000019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Гуссерль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 Избранные работы. – М.: Территория будущего, 2012. – </w:t>
      </w:r>
      <w:r>
        <w:rPr>
          <w:rFonts w:ascii="Times New Roman" w:eastAsia="Times New Roman" w:hAnsi="Times New Roman" w:cs="Times New Roman"/>
          <w:sz w:val="28"/>
          <w:szCs w:val="28"/>
        </w:rPr>
        <w:t>690 с.</w:t>
      </w:r>
    </w:p>
    <w:p w14:paraId="0000001A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4.Дроботенко  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Альтергот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Е.  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студенты  как  агенты образовательных    изменений    //    Вектор    науки    Тольяттинского государственного  университета.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Серия:  Педагогика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психология.  Сентябрь 2013. No2 (13).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106-109. </w:t>
      </w:r>
    </w:p>
    <w:p w14:paraId="0000001B" w14:textId="77777777" w:rsidR="00492813" w:rsidRDefault="00747C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5.Ефимов Д.Б. Изучение университетских органов студенческого представительства: состояние, проблемы, перспективы // Университетское управление: практика и анализ. - 2020. Т. 24. No3</w:t>
      </w:r>
    </w:p>
    <w:p w14:paraId="0000001C" w14:textId="77777777" w:rsidR="00492813" w:rsidRDefault="00747C9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6.Ефимов, Д. Б. Студенческое представительство в университетск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управлении: факторы вовлеченности // Мониторинг общественного мнения: экономические и социальные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пере- мены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2022. No 2. С. 140—167</w:t>
      </w:r>
    </w:p>
    <w:p w14:paraId="0000001D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7.Ефимов Д.Б. Устройство и деятельность университетского студенческого представительства в современной России // Вопросы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 2021. №4.</w:t>
      </w:r>
    </w:p>
    <w:p w14:paraId="0000001E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 Исследовательское интервью. – М.: Смысл, 2003. – 301 с.</w:t>
      </w:r>
    </w:p>
    <w:p w14:paraId="0000001F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9.Образование для сложного общества.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– 212 с.</w:t>
      </w:r>
    </w:p>
    <w:p w14:paraId="00000020" w14:textId="77777777" w:rsidR="00492813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10.Образовательные экосистемы: возникающая практика для будущего образования. 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Московская школа управления Сколково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декабрь 2020. – 170 с.</w:t>
      </w:r>
    </w:p>
    <w:p w14:paraId="00000021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О.Г. Методологическая идентификация управления отношениями в VUCA – образовании: визионерские заметки// Цифровой дебют образовательных отношений: монография</w:t>
      </w:r>
      <w:r>
        <w:rPr>
          <w:rFonts w:ascii="Times New Roman" w:eastAsia="Times New Roman" w:hAnsi="Times New Roman" w:cs="Times New Roman"/>
          <w:sz w:val="28"/>
          <w:szCs w:val="28"/>
        </w:rPr>
        <w:t>. – СПб: ИПЦ СЗИУ РАНХИГС, 2021. – с.10 – 37.</w:t>
      </w:r>
    </w:p>
    <w:p w14:paraId="00000022" w14:textId="77777777" w:rsidR="00492813" w:rsidRDefault="00747C9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О.Г. Образовательные экосистемы: контексты и кейсы//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 доклада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https://ioe.hse.ru/news/584978317.html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(Дата обращения 30 мая 2022)</w:t>
      </w:r>
    </w:p>
    <w:p w14:paraId="00000023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13.Розовски, Г. Университет. Руководство для владельца. — нац.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 «высшая школа экономики». — 2-е изд. — м.: изд. 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школы экономики, 2015. — 328 с. </w:t>
      </w:r>
    </w:p>
    <w:p w14:paraId="00000024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Улановский А.М. Феноменологическая психология: качественные исследования и работа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переживанием. – М.: Смысл, 2012. – 264 с.</w:t>
      </w:r>
    </w:p>
    <w:p w14:paraId="00000025" w14:textId="77777777" w:rsidR="00492813" w:rsidRDefault="00747C9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15.Улановский А.М. Феноменологический подход в психологии, психиатрии и психотерапии// Методология и история психологии, 2007, т.2, вып.1. – с. 130 – 150.</w:t>
      </w:r>
    </w:p>
    <w:p w14:paraId="00000026" w14:textId="77777777" w:rsidR="00492813" w:rsidRPr="00F255FF" w:rsidRDefault="00747C9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16. Экосистема развития инноваций российского образования: инфраструктурные характеристики/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Д.О.Королева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Науширванов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М.: НИУ ВШЭ, 2020.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№6(31)</w:t>
      </w:r>
    </w:p>
    <w:p w14:paraId="00000027" w14:textId="77777777" w:rsidR="00492813" w:rsidRPr="00F255FF" w:rsidRDefault="0074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17.Archer M.</w:t>
      </w: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Making our Way through the World: Human Reflexivity and Social Mobility. </w:t>
      </w:r>
      <w:proofErr w:type="gram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Cambridge :</w:t>
      </w:r>
      <w:proofErr w:type="gramEnd"/>
    </w:p>
    <w:p w14:paraId="00000028" w14:textId="77777777" w:rsidR="00492813" w:rsidRPr="00F255FF" w:rsidRDefault="0074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Cambridge University Press, 2007.</w:t>
      </w:r>
    </w:p>
    <w:p w14:paraId="00000029" w14:textId="77777777" w:rsidR="00492813" w:rsidRPr="00F255FF" w:rsidRDefault="00747C9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18.Archer M</w:t>
      </w: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Social Morphogenesis. </w:t>
      </w:r>
      <w:proofErr w:type="gram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Dordrecht :</w:t>
      </w:r>
      <w:proofErr w:type="gram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Springer, 2013</w:t>
      </w:r>
    </w:p>
    <w:p w14:paraId="0000002A" w14:textId="77777777" w:rsidR="00492813" w:rsidRPr="00E87DAE" w:rsidRDefault="00747C9D">
      <w:pPr>
        <w:rPr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19.Bandura A. (1989) Human Agency in Social Cognitive Theory // American </w:t>
      </w:r>
      <w:proofErr w:type="spellStart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Psy</w:t>
      </w:r>
      <w:proofErr w:type="spellEnd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chologist</w:t>
      </w:r>
      <w:proofErr w:type="spellEnd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Vol. 44. No </w:t>
      </w:r>
      <w:proofErr w:type="gramStart"/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proofErr w:type="gramEnd"/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P. 1175–1184. doi:10.1037/0003-066X.44.9.11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75 </w:t>
      </w:r>
    </w:p>
    <w:p w14:paraId="0000002B" w14:textId="77777777" w:rsidR="00492813" w:rsidRPr="00E87DAE" w:rsidRDefault="00747C9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</w:t>
      </w:r>
      <w:proofErr w:type="gramStart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.Carey</w:t>
      </w:r>
      <w:proofErr w:type="gramEnd"/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Ph. Student engagement: stakeholder perspectives on course representation in university governance. // Studies in Higher Education. – 2013. 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Vol. 38. No. 9. P. 1290-1304</w:t>
      </w:r>
    </w:p>
    <w:p w14:paraId="0000002C" w14:textId="77777777" w:rsidR="00492813" w:rsidRDefault="0074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proofErr w:type="gram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.Emirbayer</w:t>
      </w:r>
      <w:proofErr w:type="gram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</w:t>
      </w:r>
      <w:r w:rsidRPr="00F255F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is agency? / M.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Emirbayer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Mische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American Jour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nal of Sociology. </w:t>
      </w:r>
      <w:r>
        <w:rPr>
          <w:rFonts w:ascii="Times New Roman" w:eastAsia="Times New Roman" w:hAnsi="Times New Roman" w:cs="Times New Roman"/>
          <w:sz w:val="28"/>
          <w:szCs w:val="28"/>
        </w:rPr>
        <w:t>1998. V. 103.</w:t>
      </w:r>
    </w:p>
    <w:p w14:paraId="0000002D" w14:textId="77777777" w:rsidR="00492813" w:rsidRPr="00F255FF" w:rsidRDefault="0074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P. </w:t>
      </w:r>
      <w:proofErr w:type="gram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962 .</w:t>
      </w:r>
      <w:proofErr w:type="gram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–1023. DOI: https://doi.org:10.1086/231294</w:t>
      </w:r>
    </w:p>
    <w:p w14:paraId="0000002E" w14:textId="77777777" w:rsidR="00492813" w:rsidRPr="00F255FF" w:rsidRDefault="0049281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2F" w14:textId="77777777" w:rsidR="00492813" w:rsidRPr="00F255FF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Granovetter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M.S. (1973). The Strength </w:t>
      </w:r>
      <w:proofErr w:type="gram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proofErr w:type="gram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Weak Ties. The American Journal of Sociology.78 (6). 1360 – 1380)</w:t>
      </w:r>
    </w:p>
    <w:p w14:paraId="00000030" w14:textId="77777777" w:rsidR="00492813" w:rsidRPr="00F255FF" w:rsidRDefault="00747C9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lastRenderedPageBreak/>
        <w:t>23.</w:t>
      </w:r>
      <w:r w:rsidRPr="00F255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Lukasova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Kucharova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Core Values of Czech and British Universities from the Perspective of Strategic Management and Stakeholder Theory. // The International Journal of Interdisciplinary Organizational Studies. – 2015. №10(2).</w:t>
      </w:r>
    </w:p>
    <w:p w14:paraId="00000031" w14:textId="77777777" w:rsidR="00492813" w:rsidRPr="00E87DAE" w:rsidRDefault="00747C9D">
      <w:pPr>
        <w:rPr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24.Lizzio A., Wilson K. Student participation i</w:t>
      </w:r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university governance: the role conceptions and sense of efficacy of student representatives on departmental committees. // Studies in Higher Education. – 2009. 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</w:t>
      </w:r>
      <w:r w:rsidRPr="00E87DAE">
        <w:rPr>
          <w:color w:val="000000"/>
          <w:sz w:val="28"/>
          <w:szCs w:val="28"/>
          <w:lang w:val="en-US"/>
        </w:rPr>
        <w:t xml:space="preserve"> 34. 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E87DAE">
        <w:rPr>
          <w:color w:val="000000"/>
          <w:sz w:val="28"/>
          <w:szCs w:val="28"/>
          <w:lang w:val="en-US"/>
        </w:rPr>
        <w:t xml:space="preserve">. 1. </w:t>
      </w:r>
      <w:r w:rsidRPr="00E87D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E87DAE">
        <w:rPr>
          <w:color w:val="000000"/>
          <w:sz w:val="28"/>
          <w:szCs w:val="28"/>
          <w:lang w:val="en-US"/>
        </w:rPr>
        <w:t>. 69–84</w:t>
      </w:r>
    </w:p>
    <w:p w14:paraId="00000032" w14:textId="77777777" w:rsidR="00492813" w:rsidRPr="00E87DAE" w:rsidRDefault="0049281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33" w14:textId="77777777" w:rsidR="00492813" w:rsidRPr="00F255FF" w:rsidRDefault="00747C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25.</w:t>
      </w:r>
      <w:r w:rsidRPr="00F255FF">
        <w:rPr>
          <w:sz w:val="28"/>
          <w:szCs w:val="28"/>
          <w:lang w:val="en-US"/>
        </w:rPr>
        <w:t xml:space="preserve">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Mainardes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E.W., Alves, H.,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Raposo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, M. (2012) A model for stakeh</w:t>
      </w:r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older classification and stakeholder relationships. Management Decision, Vol. 50, </w:t>
      </w:r>
      <w:proofErr w:type="spellStart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Iss</w:t>
      </w:r>
      <w:proofErr w:type="spellEnd"/>
      <w:r w:rsidRPr="00F255FF">
        <w:rPr>
          <w:rFonts w:ascii="Times New Roman" w:eastAsia="Times New Roman" w:hAnsi="Times New Roman" w:cs="Times New Roman"/>
          <w:sz w:val="28"/>
          <w:szCs w:val="28"/>
          <w:lang w:val="en-US"/>
        </w:rPr>
        <w:t>: 10, pp. 1861 – 1879.</w:t>
      </w:r>
    </w:p>
    <w:p w14:paraId="00000034" w14:textId="77777777" w:rsidR="00492813" w:rsidRPr="00F255FF" w:rsidRDefault="00747C9D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5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26.Matthews K. E., Dwyer A., Hine L., et al. Conceptions of students as partners. // Higher Education. – 2018, No.76. P. 957–971.</w:t>
      </w:r>
    </w:p>
    <w:p w14:paraId="00000035" w14:textId="77777777" w:rsidR="00492813" w:rsidRPr="00F255FF" w:rsidRDefault="004928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36" w14:textId="77777777" w:rsidR="00492813" w:rsidRPr="00F255FF" w:rsidRDefault="0049281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00000037" w14:textId="77777777" w:rsidR="00492813" w:rsidRPr="00F255FF" w:rsidRDefault="0049281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492813" w:rsidRPr="00F255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3"/>
    <w:rsid w:val="000025BA"/>
    <w:rsid w:val="00213724"/>
    <w:rsid w:val="002E0D77"/>
    <w:rsid w:val="00435FA3"/>
    <w:rsid w:val="00492813"/>
    <w:rsid w:val="005A4610"/>
    <w:rsid w:val="00747C9D"/>
    <w:rsid w:val="00BB2FE6"/>
    <w:rsid w:val="00D23E58"/>
    <w:rsid w:val="00E87DAE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22F"/>
  <w15:docId w15:val="{452B45F0-2602-4DAB-A2B1-F00F0B4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oe.hse.ru/news/5849783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2022-11-14T06:38:00Z</dcterms:created>
  <dcterms:modified xsi:type="dcterms:W3CDTF">2022-11-14T08:10:00Z</dcterms:modified>
</cp:coreProperties>
</file>