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3FF9" w14:textId="4C4FA592" w:rsidR="0031631D" w:rsidRPr="00B906DD" w:rsidRDefault="00B906DD" w:rsidP="0031631D">
      <w:pPr>
        <w:ind w:firstLine="0"/>
        <w:jc w:val="left"/>
        <w:rPr>
          <w:b/>
          <w:bCs/>
          <w:sz w:val="28"/>
          <w:szCs w:val="28"/>
          <w:lang w:val="en-US"/>
        </w:rPr>
      </w:pPr>
      <w:r w:rsidRPr="00B906DD">
        <w:rPr>
          <w:b/>
          <w:bCs/>
          <w:sz w:val="28"/>
          <w:szCs w:val="28"/>
          <w:lang w:val="en-US"/>
        </w:rPr>
        <w:t>Market power and financial position of global energy companies</w:t>
      </w:r>
    </w:p>
    <w:p w14:paraId="19449F4A" w14:textId="57B1D303" w:rsidR="006522EC" w:rsidRPr="00B906DD" w:rsidRDefault="00B906DD" w:rsidP="0031631D">
      <w:pPr>
        <w:ind w:firstLine="0"/>
        <w:rPr>
          <w:i/>
          <w:iCs/>
          <w:sz w:val="28"/>
          <w:szCs w:val="28"/>
          <w:lang w:val="en-US"/>
        </w:rPr>
      </w:pPr>
      <w:r>
        <w:rPr>
          <w:i/>
          <w:iCs/>
          <w:sz w:val="28"/>
          <w:szCs w:val="28"/>
          <w:lang w:val="en-US"/>
        </w:rPr>
        <w:t>Aizenberg</w:t>
      </w:r>
      <w:r w:rsidR="006522EC" w:rsidRPr="00B906DD">
        <w:rPr>
          <w:i/>
          <w:iCs/>
          <w:sz w:val="28"/>
          <w:szCs w:val="28"/>
          <w:lang w:val="en-US"/>
        </w:rPr>
        <w:t xml:space="preserve"> </w:t>
      </w:r>
      <w:r>
        <w:rPr>
          <w:i/>
          <w:iCs/>
          <w:sz w:val="28"/>
          <w:szCs w:val="28"/>
          <w:lang w:val="en-US"/>
        </w:rPr>
        <w:t>N</w:t>
      </w:r>
      <w:r w:rsidR="006522EC" w:rsidRPr="00B906DD">
        <w:rPr>
          <w:i/>
          <w:iCs/>
          <w:sz w:val="28"/>
          <w:szCs w:val="28"/>
          <w:lang w:val="en-US"/>
        </w:rPr>
        <w:t>.</w:t>
      </w:r>
      <w:r>
        <w:rPr>
          <w:i/>
          <w:iCs/>
          <w:sz w:val="28"/>
          <w:szCs w:val="28"/>
          <w:lang w:val="en-US"/>
        </w:rPr>
        <w:t>I</w:t>
      </w:r>
      <w:r w:rsidR="006522EC" w:rsidRPr="00B906DD">
        <w:rPr>
          <w:i/>
          <w:iCs/>
          <w:sz w:val="28"/>
          <w:szCs w:val="28"/>
          <w:lang w:val="en-US"/>
        </w:rPr>
        <w:t xml:space="preserve">., </w:t>
      </w:r>
      <w:r>
        <w:rPr>
          <w:i/>
          <w:iCs/>
          <w:sz w:val="28"/>
          <w:szCs w:val="28"/>
          <w:lang w:val="en-US"/>
        </w:rPr>
        <w:t>ESI SB RAS</w:t>
      </w:r>
      <w:r w:rsidR="006522EC" w:rsidRPr="00B906DD">
        <w:rPr>
          <w:i/>
          <w:iCs/>
          <w:sz w:val="28"/>
          <w:szCs w:val="28"/>
          <w:lang w:val="en-US"/>
        </w:rPr>
        <w:t xml:space="preserve">, </w:t>
      </w:r>
      <w:r>
        <w:rPr>
          <w:i/>
          <w:iCs/>
          <w:sz w:val="28"/>
          <w:szCs w:val="28"/>
          <w:lang w:val="en-US"/>
        </w:rPr>
        <w:t>Irkutsk</w:t>
      </w:r>
    </w:p>
    <w:p w14:paraId="390DBA25" w14:textId="20F278ED" w:rsidR="00E5771C" w:rsidRPr="00B906DD" w:rsidRDefault="00B906DD" w:rsidP="0031631D">
      <w:pPr>
        <w:ind w:firstLine="0"/>
        <w:rPr>
          <w:i/>
          <w:iCs/>
          <w:sz w:val="28"/>
          <w:szCs w:val="28"/>
          <w:lang w:val="en-US"/>
        </w:rPr>
      </w:pPr>
      <w:proofErr w:type="spellStart"/>
      <w:r>
        <w:rPr>
          <w:i/>
          <w:iCs/>
          <w:sz w:val="28"/>
          <w:szCs w:val="28"/>
          <w:lang w:val="en-US"/>
        </w:rPr>
        <w:t>Dzuba</w:t>
      </w:r>
      <w:proofErr w:type="spellEnd"/>
      <w:r>
        <w:rPr>
          <w:i/>
          <w:iCs/>
          <w:sz w:val="28"/>
          <w:szCs w:val="28"/>
          <w:lang w:val="en-US"/>
        </w:rPr>
        <w:t xml:space="preserve"> S</w:t>
      </w:r>
      <w:r w:rsidR="00904510" w:rsidRPr="00B906DD">
        <w:rPr>
          <w:i/>
          <w:iCs/>
          <w:sz w:val="28"/>
          <w:szCs w:val="28"/>
          <w:lang w:val="en-US"/>
        </w:rPr>
        <w:t>.</w:t>
      </w:r>
      <w:r w:rsidR="00904510" w:rsidRPr="0031631D">
        <w:rPr>
          <w:i/>
          <w:iCs/>
          <w:sz w:val="28"/>
          <w:szCs w:val="28"/>
        </w:rPr>
        <w:t>А</w:t>
      </w:r>
      <w:r w:rsidR="00904510" w:rsidRPr="00B906DD">
        <w:rPr>
          <w:i/>
          <w:iCs/>
          <w:sz w:val="28"/>
          <w:szCs w:val="28"/>
          <w:lang w:val="en-US"/>
        </w:rPr>
        <w:t>.</w:t>
      </w:r>
      <w:r w:rsidR="00E5771C" w:rsidRPr="00B906DD">
        <w:rPr>
          <w:i/>
          <w:iCs/>
          <w:sz w:val="28"/>
          <w:szCs w:val="28"/>
          <w:lang w:val="en-US"/>
        </w:rPr>
        <w:t xml:space="preserve">, </w:t>
      </w:r>
      <w:r>
        <w:rPr>
          <w:i/>
          <w:iCs/>
          <w:sz w:val="28"/>
          <w:szCs w:val="28"/>
          <w:lang w:val="en-US"/>
        </w:rPr>
        <w:t>FEFU</w:t>
      </w:r>
      <w:r w:rsidR="00E5771C" w:rsidRPr="00B906DD">
        <w:rPr>
          <w:i/>
          <w:iCs/>
          <w:sz w:val="28"/>
          <w:szCs w:val="28"/>
          <w:lang w:val="en-US"/>
        </w:rPr>
        <w:t xml:space="preserve">, </w:t>
      </w:r>
      <w:r>
        <w:rPr>
          <w:i/>
          <w:iCs/>
          <w:sz w:val="28"/>
          <w:szCs w:val="28"/>
          <w:lang w:val="en-US"/>
        </w:rPr>
        <w:t>Vladivostok</w:t>
      </w:r>
    </w:p>
    <w:p w14:paraId="01ACB39D" w14:textId="77777777" w:rsidR="00DE0E78" w:rsidRPr="00B906DD" w:rsidRDefault="00DE0E78" w:rsidP="00086889">
      <w:pPr>
        <w:rPr>
          <w:lang w:val="en-US"/>
        </w:rPr>
      </w:pPr>
    </w:p>
    <w:p w14:paraId="0CB7C940" w14:textId="77777777" w:rsidR="00B906DD" w:rsidRPr="00ED6F1C" w:rsidRDefault="00B906DD" w:rsidP="00B906DD">
      <w:pPr>
        <w:spacing w:before="120" w:line="240" w:lineRule="auto"/>
        <w:ind w:left="142" w:firstLine="0"/>
        <w:rPr>
          <w:rFonts w:eastAsia="Times New Roman"/>
          <w:color w:val="000000"/>
          <w:sz w:val="28"/>
          <w:szCs w:val="28"/>
          <w:shd w:val="clear" w:color="auto" w:fill="FFFFFF"/>
          <w:lang w:val="en-US" w:eastAsia="ru-RU"/>
        </w:rPr>
      </w:pPr>
      <w:r w:rsidRPr="00B906DD">
        <w:rPr>
          <w:rFonts w:eastAsia="Times New Roman"/>
          <w:color w:val="000000"/>
          <w:sz w:val="28"/>
          <w:szCs w:val="28"/>
          <w:shd w:val="clear" w:color="auto" w:fill="FFFFFF"/>
          <w:lang w:val="en-US" w:eastAsia="ru-RU"/>
        </w:rPr>
        <w:t xml:space="preserve">The organization of the electricity industry in each country or region may have specific features: there are single-product (with trade in electricity) or multi-product (with trade in capacity, electricity and heat) structures; production and trade in the field of energy can be carried out both within the framework of competitive, natural monopoly and vertically integrated relationships; the generating companies operating in the industry can be independent economic entities, or they can be directly regulated by government agencies, etc. </w:t>
      </w:r>
      <w:r w:rsidRPr="00ED6F1C">
        <w:rPr>
          <w:rFonts w:eastAsia="Times New Roman"/>
          <w:color w:val="000000"/>
          <w:sz w:val="28"/>
          <w:szCs w:val="28"/>
          <w:shd w:val="clear" w:color="auto" w:fill="FFFFFF"/>
          <w:lang w:val="en-US" w:eastAsia="ru-RU"/>
        </w:rPr>
        <w:t>(</w:t>
      </w:r>
      <w:proofErr w:type="spellStart"/>
      <w:r w:rsidRPr="00ED6F1C">
        <w:rPr>
          <w:rFonts w:eastAsia="Times New Roman"/>
          <w:color w:val="000000"/>
          <w:sz w:val="28"/>
          <w:szCs w:val="28"/>
          <w:shd w:val="clear" w:color="auto" w:fill="FFFFFF"/>
          <w:lang w:val="en-US" w:eastAsia="ru-RU"/>
        </w:rPr>
        <w:t>Dolmatov</w:t>
      </w:r>
      <w:proofErr w:type="spellEnd"/>
      <w:r w:rsidRPr="00ED6F1C">
        <w:rPr>
          <w:rFonts w:eastAsia="Times New Roman"/>
          <w:color w:val="000000"/>
          <w:sz w:val="28"/>
          <w:szCs w:val="28"/>
          <w:shd w:val="clear" w:color="auto" w:fill="FFFFFF"/>
          <w:lang w:val="en-US" w:eastAsia="ru-RU"/>
        </w:rPr>
        <w:t xml:space="preserve"> et al., 2015; </w:t>
      </w:r>
      <w:proofErr w:type="spellStart"/>
      <w:r w:rsidRPr="00ED6F1C">
        <w:rPr>
          <w:rFonts w:eastAsia="Times New Roman"/>
          <w:color w:val="000000"/>
          <w:sz w:val="28"/>
          <w:szCs w:val="28"/>
          <w:shd w:val="clear" w:color="auto" w:fill="FFFFFF"/>
          <w:lang w:val="en-US" w:eastAsia="ru-RU"/>
        </w:rPr>
        <w:t>Joskow</w:t>
      </w:r>
      <w:proofErr w:type="spellEnd"/>
      <w:r w:rsidRPr="00ED6F1C">
        <w:rPr>
          <w:rFonts w:eastAsia="Times New Roman"/>
          <w:color w:val="000000"/>
          <w:sz w:val="28"/>
          <w:szCs w:val="28"/>
          <w:shd w:val="clear" w:color="auto" w:fill="FFFFFF"/>
          <w:lang w:val="en-US" w:eastAsia="ru-RU"/>
        </w:rPr>
        <w:t>, 2008). The issues of effective organization of the industry remain open and are complicated by the imperfection of competition and institutions in existing and newly created electric power markets.</w:t>
      </w:r>
    </w:p>
    <w:p w14:paraId="01B045B1" w14:textId="77777777" w:rsidR="00B906DD" w:rsidRPr="00ED6F1C" w:rsidRDefault="00B906DD" w:rsidP="00B906DD">
      <w:pPr>
        <w:spacing w:before="120" w:line="240" w:lineRule="auto"/>
        <w:ind w:left="142" w:firstLine="0"/>
        <w:rPr>
          <w:rFonts w:eastAsia="Times New Roman"/>
          <w:color w:val="000000"/>
          <w:sz w:val="28"/>
          <w:szCs w:val="28"/>
          <w:shd w:val="clear" w:color="auto" w:fill="FFFFFF"/>
          <w:lang w:val="en-US" w:eastAsia="ru-RU"/>
        </w:rPr>
      </w:pPr>
      <w:r w:rsidRPr="00ED6F1C">
        <w:rPr>
          <w:rFonts w:eastAsia="Times New Roman"/>
          <w:color w:val="000000"/>
          <w:sz w:val="28"/>
          <w:szCs w:val="28"/>
          <w:shd w:val="clear" w:color="auto" w:fill="FFFFFF"/>
          <w:lang w:val="en-US" w:eastAsia="ru-RU"/>
        </w:rPr>
        <w:t xml:space="preserve">Our study sets the task of comparing the performance of the </w:t>
      </w:r>
      <w:proofErr w:type="gramStart"/>
      <w:r w:rsidRPr="00ED6F1C">
        <w:rPr>
          <w:rFonts w:eastAsia="Times New Roman"/>
          <w:color w:val="000000"/>
          <w:sz w:val="28"/>
          <w:szCs w:val="28"/>
          <w:shd w:val="clear" w:color="auto" w:fill="FFFFFF"/>
          <w:lang w:val="en-US" w:eastAsia="ru-RU"/>
        </w:rPr>
        <w:t>generating  companies</w:t>
      </w:r>
      <w:proofErr w:type="gramEnd"/>
      <w:r w:rsidRPr="00ED6F1C">
        <w:rPr>
          <w:rFonts w:eastAsia="Times New Roman"/>
          <w:color w:val="000000"/>
          <w:sz w:val="28"/>
          <w:szCs w:val="28"/>
          <w:shd w:val="clear" w:color="auto" w:fill="FFFFFF"/>
          <w:lang w:val="en-US" w:eastAsia="ru-RU"/>
        </w:rPr>
        <w:t>, including Russian ones, operating in different conditions. The novelty of the study is the approach of indirect assessment of market power using financial indicators, which differs from assessments of market power through Herfindahl-Hirschman concentration indices (HHI) (</w:t>
      </w:r>
      <w:proofErr w:type="spellStart"/>
      <w:r w:rsidRPr="00ED6F1C">
        <w:rPr>
          <w:rFonts w:eastAsia="Times New Roman"/>
          <w:color w:val="000000"/>
          <w:sz w:val="28"/>
          <w:szCs w:val="28"/>
          <w:shd w:val="clear" w:color="auto" w:fill="FFFFFF"/>
          <w:lang w:val="en-US" w:eastAsia="ru-RU"/>
        </w:rPr>
        <w:t>Kuzmin</w:t>
      </w:r>
      <w:proofErr w:type="spellEnd"/>
      <w:r w:rsidRPr="00ED6F1C">
        <w:rPr>
          <w:rFonts w:eastAsia="Times New Roman"/>
          <w:color w:val="000000"/>
          <w:sz w:val="28"/>
          <w:szCs w:val="28"/>
          <w:shd w:val="clear" w:color="auto" w:fill="FFFFFF"/>
          <w:lang w:val="en-US" w:eastAsia="ru-RU"/>
        </w:rPr>
        <w:t xml:space="preserve"> et al., 2019) or residual supply indices (RSI) (</w:t>
      </w:r>
      <w:proofErr w:type="spellStart"/>
      <w:r w:rsidRPr="00ED6F1C">
        <w:rPr>
          <w:rFonts w:eastAsia="Times New Roman"/>
          <w:color w:val="000000"/>
          <w:sz w:val="28"/>
          <w:szCs w:val="28"/>
          <w:shd w:val="clear" w:color="auto" w:fill="FFFFFF"/>
          <w:lang w:val="en-US" w:eastAsia="ru-RU"/>
        </w:rPr>
        <w:t>Dolmatova</w:t>
      </w:r>
      <w:proofErr w:type="spellEnd"/>
      <w:r w:rsidRPr="00ED6F1C">
        <w:rPr>
          <w:rFonts w:eastAsia="Times New Roman"/>
          <w:color w:val="000000"/>
          <w:sz w:val="28"/>
          <w:szCs w:val="28"/>
          <w:shd w:val="clear" w:color="auto" w:fill="FFFFFF"/>
          <w:lang w:val="en-US" w:eastAsia="ru-RU"/>
        </w:rPr>
        <w:t xml:space="preserve"> et al., 2021</w:t>
      </w:r>
      <w:proofErr w:type="gramStart"/>
      <w:r w:rsidRPr="00ED6F1C">
        <w:rPr>
          <w:rFonts w:eastAsia="Times New Roman"/>
          <w:color w:val="000000"/>
          <w:sz w:val="28"/>
          <w:szCs w:val="28"/>
          <w:shd w:val="clear" w:color="auto" w:fill="FFFFFF"/>
          <w:lang w:val="en-US" w:eastAsia="ru-RU"/>
        </w:rPr>
        <w:t>) .</w:t>
      </w:r>
      <w:proofErr w:type="gramEnd"/>
    </w:p>
    <w:p w14:paraId="626E3592" w14:textId="77777777" w:rsidR="00B906DD" w:rsidRPr="00ED6F1C" w:rsidRDefault="00B906DD" w:rsidP="00B906DD">
      <w:pPr>
        <w:spacing w:before="120" w:line="240" w:lineRule="auto"/>
        <w:ind w:left="142" w:firstLine="0"/>
        <w:rPr>
          <w:rFonts w:eastAsia="Times New Roman"/>
          <w:color w:val="000000"/>
          <w:sz w:val="28"/>
          <w:szCs w:val="28"/>
          <w:shd w:val="clear" w:color="auto" w:fill="FFFFFF"/>
          <w:lang w:val="en-US" w:eastAsia="ru-RU"/>
        </w:rPr>
      </w:pPr>
      <w:r w:rsidRPr="00ED6F1C">
        <w:rPr>
          <w:rFonts w:eastAsia="Times New Roman"/>
          <w:color w:val="000000"/>
          <w:sz w:val="28"/>
          <w:szCs w:val="28"/>
          <w:shd w:val="clear" w:color="auto" w:fill="FFFFFF"/>
          <w:lang w:val="en-US" w:eastAsia="ru-RU"/>
        </w:rPr>
        <w:t>For Russian generating companies, the manifestation of market power is characteristic (Aizenberg &amp; Dzyuba, 2020). This is manifested in the outpacing growth in prices for electricity and heat (products of generating companies) relative to the growth in prices for energy carriers (the main component in their cost structure). In a corresponding way, this is reflected in their financial situation. Based on a set of financial indicators, we can get a "financial portrait" of companies that are characterized by the manifestation of market power.</w:t>
      </w:r>
    </w:p>
    <w:p w14:paraId="390A0A91" w14:textId="1AC4165C" w:rsidR="00B906DD" w:rsidRPr="00ED6F1C" w:rsidRDefault="00B906DD" w:rsidP="00B906DD">
      <w:pPr>
        <w:spacing w:before="120" w:line="240" w:lineRule="auto"/>
        <w:ind w:left="142" w:firstLine="0"/>
        <w:rPr>
          <w:rFonts w:eastAsia="Times New Roman"/>
          <w:color w:val="000000"/>
          <w:sz w:val="28"/>
          <w:szCs w:val="28"/>
          <w:shd w:val="clear" w:color="auto" w:fill="FFFFFF"/>
          <w:lang w:val="en-US" w:eastAsia="ru-RU"/>
        </w:rPr>
      </w:pPr>
      <w:r w:rsidRPr="00ED6F1C">
        <w:rPr>
          <w:rFonts w:eastAsia="Times New Roman"/>
          <w:color w:val="000000"/>
          <w:sz w:val="28"/>
          <w:szCs w:val="28"/>
          <w:shd w:val="clear" w:color="auto" w:fill="FFFFFF"/>
          <w:lang w:val="en-US" w:eastAsia="ru-RU"/>
        </w:rPr>
        <w:t xml:space="preserve">For global (non-Russian) energy companies, a direct measurement of market power is impossible due to the lack of sufficient information to apply the methodology outlined in (Aizenberg &amp; </w:t>
      </w:r>
      <w:proofErr w:type="spellStart"/>
      <w:r w:rsidRPr="00ED6F1C">
        <w:rPr>
          <w:rFonts w:eastAsia="Times New Roman"/>
          <w:color w:val="000000"/>
          <w:sz w:val="28"/>
          <w:szCs w:val="28"/>
          <w:shd w:val="clear" w:color="auto" w:fill="FFFFFF"/>
          <w:lang w:val="en-US" w:eastAsia="ru-RU"/>
        </w:rPr>
        <w:t>Dzuba</w:t>
      </w:r>
      <w:proofErr w:type="spellEnd"/>
      <w:r w:rsidRPr="00ED6F1C">
        <w:rPr>
          <w:rFonts w:eastAsia="Times New Roman"/>
          <w:color w:val="000000"/>
          <w:sz w:val="28"/>
          <w:szCs w:val="28"/>
          <w:shd w:val="clear" w:color="auto" w:fill="FFFFFF"/>
          <w:lang w:val="en-US" w:eastAsia="ru-RU"/>
        </w:rPr>
        <w:t>, 2020). However, on the basis of public financial statements, we can get a "financial portrait" of these companies and compare it with similar ones for Russian ones.</w:t>
      </w:r>
    </w:p>
    <w:p w14:paraId="51443611" w14:textId="77777777" w:rsidR="00B906DD" w:rsidRPr="00ED6F1C" w:rsidRDefault="00B906DD" w:rsidP="00B906DD">
      <w:pPr>
        <w:spacing w:before="120" w:line="240" w:lineRule="auto"/>
        <w:ind w:left="142" w:firstLine="0"/>
        <w:rPr>
          <w:rFonts w:eastAsia="Times New Roman"/>
          <w:color w:val="000000"/>
          <w:sz w:val="28"/>
          <w:szCs w:val="28"/>
          <w:shd w:val="clear" w:color="auto" w:fill="FFFFFF"/>
          <w:lang w:val="en-US" w:eastAsia="ru-RU"/>
        </w:rPr>
      </w:pPr>
      <w:r w:rsidRPr="00ED6F1C">
        <w:rPr>
          <w:rFonts w:eastAsia="Times New Roman"/>
          <w:color w:val="000000"/>
          <w:sz w:val="28"/>
          <w:szCs w:val="28"/>
          <w:shd w:val="clear" w:color="auto" w:fill="FFFFFF"/>
          <w:lang w:val="en-US" w:eastAsia="ru-RU"/>
        </w:rPr>
        <w:t>Markers for assessing the financial position, profitability, medium- and long-term stability of companies are used (</w:t>
      </w:r>
      <w:proofErr w:type="spellStart"/>
      <w:r w:rsidRPr="00ED6F1C">
        <w:rPr>
          <w:rFonts w:eastAsia="Times New Roman"/>
          <w:color w:val="000000"/>
          <w:sz w:val="28"/>
          <w:szCs w:val="28"/>
          <w:shd w:val="clear" w:color="auto" w:fill="FFFFFF"/>
          <w:lang w:val="en-US" w:eastAsia="ru-RU"/>
        </w:rPr>
        <w:t>Dzuba</w:t>
      </w:r>
      <w:proofErr w:type="spellEnd"/>
      <w:r w:rsidRPr="00ED6F1C">
        <w:rPr>
          <w:rFonts w:eastAsia="Times New Roman"/>
          <w:color w:val="000000"/>
          <w:sz w:val="28"/>
          <w:szCs w:val="28"/>
          <w:shd w:val="clear" w:color="auto" w:fill="FFFFFF"/>
          <w:lang w:val="en-US" w:eastAsia="ru-RU"/>
        </w:rPr>
        <w:t xml:space="preserve"> &amp; </w:t>
      </w:r>
      <w:proofErr w:type="spellStart"/>
      <w:r w:rsidRPr="00ED6F1C">
        <w:rPr>
          <w:rFonts w:eastAsia="Times New Roman"/>
          <w:color w:val="000000"/>
          <w:sz w:val="28"/>
          <w:szCs w:val="28"/>
          <w:shd w:val="clear" w:color="auto" w:fill="FFFFFF"/>
          <w:lang w:val="en-US" w:eastAsia="ru-RU"/>
        </w:rPr>
        <w:t>Krylov</w:t>
      </w:r>
      <w:proofErr w:type="spellEnd"/>
      <w:r w:rsidRPr="00ED6F1C">
        <w:rPr>
          <w:rFonts w:eastAsia="Times New Roman"/>
          <w:color w:val="000000"/>
          <w:sz w:val="28"/>
          <w:szCs w:val="28"/>
          <w:shd w:val="clear" w:color="auto" w:fill="FFFFFF"/>
          <w:lang w:val="en-US" w:eastAsia="ru-RU"/>
        </w:rPr>
        <w:t xml:space="preserve">, 2021) return on capital employed, leverage or collateral </w:t>
      </w:r>
      <w:proofErr w:type="spellStart"/>
      <w:proofErr w:type="gramStart"/>
      <w:r w:rsidRPr="00ED6F1C">
        <w:rPr>
          <w:rFonts w:eastAsia="Times New Roman"/>
          <w:color w:val="000000"/>
          <w:sz w:val="28"/>
          <w:szCs w:val="28"/>
          <w:shd w:val="clear" w:color="auto" w:fill="FFFFFF"/>
          <w:lang w:val="en-US" w:eastAsia="ru-RU"/>
        </w:rPr>
        <w:t>rate,current</w:t>
      </w:r>
      <w:proofErr w:type="spellEnd"/>
      <w:proofErr w:type="gramEnd"/>
      <w:r w:rsidRPr="00ED6F1C">
        <w:rPr>
          <w:rFonts w:eastAsia="Times New Roman"/>
          <w:color w:val="000000"/>
          <w:sz w:val="28"/>
          <w:szCs w:val="28"/>
          <w:shd w:val="clear" w:color="auto" w:fill="FFFFFF"/>
          <w:lang w:val="en-US" w:eastAsia="ru-RU"/>
        </w:rPr>
        <w:t xml:space="preserve"> ratio, which are supplemented by indicators characterizing the state of assets and fixed assets.</w:t>
      </w:r>
    </w:p>
    <w:p w14:paraId="35AEE040" w14:textId="77777777" w:rsidR="00B906DD" w:rsidRDefault="00B906DD" w:rsidP="00B906DD">
      <w:pPr>
        <w:spacing w:before="120" w:line="240" w:lineRule="auto"/>
        <w:ind w:left="142" w:firstLine="0"/>
        <w:rPr>
          <w:rFonts w:eastAsia="Times New Roman"/>
          <w:color w:val="000000"/>
          <w:sz w:val="28"/>
          <w:szCs w:val="28"/>
          <w:shd w:val="clear" w:color="auto" w:fill="FFFFFF"/>
          <w:lang w:val="en-US" w:eastAsia="ru-RU"/>
        </w:rPr>
      </w:pPr>
      <w:r w:rsidRPr="00ED6F1C">
        <w:rPr>
          <w:rFonts w:eastAsia="Times New Roman"/>
          <w:color w:val="000000"/>
          <w:sz w:val="28"/>
          <w:szCs w:val="28"/>
          <w:shd w:val="clear" w:color="auto" w:fill="FFFFFF"/>
          <w:lang w:val="en-US" w:eastAsia="ru-RU"/>
        </w:rPr>
        <w:t xml:space="preserve">In general, we can say that the profitability of Russian companies is higher than is typical for global companies, and the debt load (financial stability) is much lower. On the one hand, this can be classified as an indirect sign that market power is more typical for Russian companies than for global ones. On the other hand, the low financial stability of global companies cannot be seen as a possible positive </w:t>
      </w:r>
      <w:r w:rsidRPr="00ED6F1C">
        <w:rPr>
          <w:rFonts w:eastAsia="Times New Roman"/>
          <w:color w:val="000000"/>
          <w:sz w:val="28"/>
          <w:szCs w:val="28"/>
          <w:shd w:val="clear" w:color="auto" w:fill="FFFFFF"/>
          <w:lang w:val="en-US" w:eastAsia="ru-RU"/>
        </w:rPr>
        <w:lastRenderedPageBreak/>
        <w:t>consequence of the lack of market power, especially in the face of growing turbulent phenomena in the economy since the coronavirus crisis.</w:t>
      </w:r>
      <w:r>
        <w:rPr>
          <w:rFonts w:eastAsia="Times New Roman"/>
          <w:color w:val="000000"/>
          <w:sz w:val="28"/>
          <w:szCs w:val="28"/>
          <w:shd w:val="clear" w:color="auto" w:fill="FFFFFF"/>
          <w:lang w:val="en-US" w:eastAsia="ru-RU"/>
        </w:rPr>
        <w:t xml:space="preserve"> </w:t>
      </w:r>
    </w:p>
    <w:p w14:paraId="27DF1A36" w14:textId="77777777" w:rsidR="00B906DD" w:rsidRDefault="00B906DD" w:rsidP="00B906DD">
      <w:pPr>
        <w:spacing w:before="120" w:line="240" w:lineRule="auto"/>
        <w:ind w:left="142" w:firstLine="0"/>
        <w:rPr>
          <w:rFonts w:eastAsia="Times New Roman"/>
          <w:color w:val="000000"/>
          <w:sz w:val="28"/>
          <w:szCs w:val="28"/>
          <w:shd w:val="clear" w:color="auto" w:fill="FFFFFF"/>
          <w:lang w:val="en-US" w:eastAsia="ru-RU"/>
        </w:rPr>
      </w:pPr>
    </w:p>
    <w:p w14:paraId="29ADEBB9" w14:textId="4D2EE51D" w:rsidR="00ED6F1C" w:rsidRPr="00ED6F1C" w:rsidRDefault="00ED6F1C" w:rsidP="00B906DD">
      <w:pPr>
        <w:spacing w:before="120" w:line="240" w:lineRule="auto"/>
        <w:ind w:left="142" w:firstLine="0"/>
        <w:rPr>
          <w:rFonts w:eastAsia="Times New Roman"/>
          <w:b/>
          <w:bCs/>
          <w:color w:val="000000"/>
          <w:sz w:val="28"/>
          <w:szCs w:val="28"/>
          <w:shd w:val="clear" w:color="auto" w:fill="FFFFFF"/>
          <w:lang w:val="en-US" w:eastAsia="ru-RU"/>
        </w:rPr>
      </w:pPr>
      <w:r w:rsidRPr="00ED6F1C">
        <w:rPr>
          <w:rFonts w:eastAsia="Times New Roman"/>
          <w:b/>
          <w:bCs/>
          <w:color w:val="000000"/>
          <w:sz w:val="28"/>
          <w:szCs w:val="28"/>
          <w:shd w:val="clear" w:color="auto" w:fill="FFFFFF"/>
          <w:lang w:val="en-US" w:eastAsia="ru-RU"/>
        </w:rPr>
        <w:t xml:space="preserve">Referents. </w:t>
      </w:r>
    </w:p>
    <w:p w14:paraId="16BFEBF3" w14:textId="6F9A945F" w:rsidR="00D81BEE" w:rsidRPr="00D81BEE" w:rsidRDefault="00D81BEE" w:rsidP="00D81BEE">
      <w:pPr>
        <w:spacing w:before="120" w:line="240" w:lineRule="auto"/>
        <w:ind w:left="142" w:firstLine="0"/>
        <w:rPr>
          <w:lang w:val="en-US"/>
        </w:rPr>
      </w:pPr>
      <w:r w:rsidRPr="00D81BEE">
        <w:rPr>
          <w:lang w:val="en-US"/>
        </w:rPr>
        <w:t xml:space="preserve">Aizenberg, N.I., </w:t>
      </w:r>
      <w:proofErr w:type="spellStart"/>
      <w:r w:rsidRPr="00D81BEE">
        <w:rPr>
          <w:lang w:val="en-US"/>
        </w:rPr>
        <w:t>Dzuba</w:t>
      </w:r>
      <w:proofErr w:type="spellEnd"/>
      <w:r w:rsidRPr="00D81BEE">
        <w:rPr>
          <w:lang w:val="en-US"/>
        </w:rPr>
        <w:t>, S.A. (2020) Manifestation of Market Power in the Russian Electricity Market. ECO. 50(10), p. 102-126. DOI: 10.30680/ESO0131-7652-2020-10-102-126.</w:t>
      </w:r>
    </w:p>
    <w:p w14:paraId="122E717A" w14:textId="77777777" w:rsidR="00D81BEE" w:rsidRDefault="00D81BEE" w:rsidP="00D81BEE">
      <w:pPr>
        <w:spacing w:before="120" w:line="240" w:lineRule="auto"/>
        <w:ind w:left="142" w:firstLine="0"/>
        <w:rPr>
          <w:lang w:val="en-US"/>
        </w:rPr>
      </w:pPr>
      <w:proofErr w:type="spellStart"/>
      <w:r w:rsidRPr="00D81BEE">
        <w:rPr>
          <w:lang w:val="en-US"/>
        </w:rPr>
        <w:t>Dolmatov</w:t>
      </w:r>
      <w:proofErr w:type="spellEnd"/>
      <w:r w:rsidRPr="00D81BEE">
        <w:rPr>
          <w:lang w:val="en-US"/>
        </w:rPr>
        <w:t xml:space="preserve">, </w:t>
      </w:r>
      <w:proofErr w:type="spellStart"/>
      <w:r w:rsidRPr="00D81BEE">
        <w:rPr>
          <w:lang w:val="en-US"/>
        </w:rPr>
        <w:t>I.Ya</w:t>
      </w:r>
      <w:proofErr w:type="spellEnd"/>
      <w:r w:rsidRPr="00D81BEE">
        <w:rPr>
          <w:lang w:val="en-US"/>
        </w:rPr>
        <w:t xml:space="preserve">. (2015) Pricing models for the services of subjects of natural monopolies in the UK / </w:t>
      </w:r>
      <w:proofErr w:type="spellStart"/>
      <w:r w:rsidRPr="00D81BEE">
        <w:rPr>
          <w:lang w:val="en-US"/>
        </w:rPr>
        <w:t>I.</w:t>
      </w:r>
      <w:proofErr w:type="gramStart"/>
      <w:r w:rsidRPr="00D81BEE">
        <w:rPr>
          <w:lang w:val="en-US"/>
        </w:rPr>
        <w:t>Ya.Dolmatov</w:t>
      </w:r>
      <w:proofErr w:type="spellEnd"/>
      <w:proofErr w:type="gramEnd"/>
      <w:r w:rsidRPr="00D81BEE">
        <w:rPr>
          <w:lang w:val="en-US"/>
        </w:rPr>
        <w:t xml:space="preserve">, </w:t>
      </w:r>
      <w:proofErr w:type="spellStart"/>
      <w:r w:rsidRPr="00D81BEE">
        <w:rPr>
          <w:lang w:val="en-US"/>
        </w:rPr>
        <w:t>Drobysh</w:t>
      </w:r>
      <w:proofErr w:type="spellEnd"/>
      <w:r w:rsidRPr="00D81BEE">
        <w:rPr>
          <w:lang w:val="en-US"/>
        </w:rPr>
        <w:t xml:space="preserve"> I.I., </w:t>
      </w:r>
      <w:proofErr w:type="spellStart"/>
      <w:r w:rsidRPr="00D81BEE">
        <w:rPr>
          <w:lang w:val="en-US"/>
        </w:rPr>
        <w:t>Zotova</w:t>
      </w:r>
      <w:proofErr w:type="spellEnd"/>
      <w:r w:rsidRPr="00D81BEE">
        <w:rPr>
          <w:lang w:val="en-US"/>
        </w:rPr>
        <w:t xml:space="preserve"> </w:t>
      </w:r>
      <w:proofErr w:type="spellStart"/>
      <w:r w:rsidRPr="00D81BEE">
        <w:rPr>
          <w:lang w:val="en-US"/>
        </w:rPr>
        <w:t>I.Yu</w:t>
      </w:r>
      <w:proofErr w:type="spellEnd"/>
      <w:r w:rsidRPr="00D81BEE">
        <w:rPr>
          <w:lang w:val="en-US"/>
        </w:rPr>
        <w:t xml:space="preserve">., </w:t>
      </w:r>
      <w:proofErr w:type="spellStart"/>
      <w:r w:rsidRPr="00D81BEE">
        <w:rPr>
          <w:lang w:val="en-US"/>
        </w:rPr>
        <w:t>Lazebnik</w:t>
      </w:r>
      <w:proofErr w:type="spellEnd"/>
      <w:r w:rsidRPr="00D81BEE">
        <w:rPr>
          <w:lang w:val="en-US"/>
        </w:rPr>
        <w:t xml:space="preserve"> A.I., </w:t>
      </w:r>
      <w:proofErr w:type="spellStart"/>
      <w:r w:rsidRPr="00D81BEE">
        <w:rPr>
          <w:lang w:val="en-US"/>
        </w:rPr>
        <w:t>Panova</w:t>
      </w:r>
      <w:proofErr w:type="spellEnd"/>
      <w:r w:rsidRPr="00D81BEE">
        <w:rPr>
          <w:lang w:val="en-US"/>
        </w:rPr>
        <w:t xml:space="preserve"> M.A., Sorokin I.S., </w:t>
      </w:r>
      <w:proofErr w:type="spellStart"/>
      <w:r w:rsidRPr="00D81BEE">
        <w:rPr>
          <w:lang w:val="en-US"/>
        </w:rPr>
        <w:t>Shilova</w:t>
      </w:r>
      <w:proofErr w:type="spellEnd"/>
      <w:r w:rsidRPr="00D81BEE">
        <w:rPr>
          <w:lang w:val="en-US"/>
        </w:rPr>
        <w:t xml:space="preserve"> N.V., </w:t>
      </w:r>
      <w:proofErr w:type="spellStart"/>
      <w:r w:rsidRPr="00D81BEE">
        <w:rPr>
          <w:lang w:val="en-US"/>
        </w:rPr>
        <w:t>Yarkin</w:t>
      </w:r>
      <w:proofErr w:type="spellEnd"/>
      <w:r w:rsidRPr="00D81BEE">
        <w:rPr>
          <w:lang w:val="en-US"/>
        </w:rPr>
        <w:t xml:space="preserve"> E.V. – M.: National Research University Higher School of Economics, Institute for Problems of Pricing and Regulation of Natural Monopolies. 172 p.</w:t>
      </w:r>
    </w:p>
    <w:p w14:paraId="08FBF89D" w14:textId="23F1E6C2" w:rsidR="0031631D" w:rsidRPr="0031631D" w:rsidRDefault="0031631D" w:rsidP="00D81BEE">
      <w:pPr>
        <w:spacing w:before="120" w:line="240" w:lineRule="auto"/>
        <w:ind w:left="142" w:firstLine="0"/>
        <w:rPr>
          <w:lang w:val="en-US"/>
        </w:rPr>
      </w:pPr>
      <w:proofErr w:type="spellStart"/>
      <w:r w:rsidRPr="0031631D">
        <w:rPr>
          <w:lang w:val="en-US"/>
        </w:rPr>
        <w:t>Joskow</w:t>
      </w:r>
      <w:proofErr w:type="spellEnd"/>
      <w:r w:rsidRPr="0031631D">
        <w:rPr>
          <w:lang w:val="en-US"/>
        </w:rPr>
        <w:t xml:space="preserve">, P.L. </w:t>
      </w:r>
      <w:r>
        <w:rPr>
          <w:lang w:val="en-US"/>
        </w:rPr>
        <w:t xml:space="preserve">(2008) </w:t>
      </w:r>
      <w:r w:rsidRPr="0031631D">
        <w:rPr>
          <w:lang w:val="en-US"/>
        </w:rPr>
        <w:t>Lessons learned from electricity market liberalization</w:t>
      </w:r>
      <w:r>
        <w:rPr>
          <w:lang w:val="en-US"/>
        </w:rPr>
        <w:t xml:space="preserve">. </w:t>
      </w:r>
      <w:r w:rsidRPr="005D24D2">
        <w:rPr>
          <w:i/>
          <w:iCs/>
          <w:lang w:val="en-US"/>
        </w:rPr>
        <w:t>The Electricity Journal</w:t>
      </w:r>
      <w:r w:rsidRPr="0031631D">
        <w:rPr>
          <w:lang w:val="en-US"/>
        </w:rPr>
        <w:t>, Special Issue. The Future of Electricity: Papers in honor of David Newberry. V. 29</w:t>
      </w:r>
      <w:r>
        <w:rPr>
          <w:lang w:val="en-US"/>
        </w:rPr>
        <w:t>,</w:t>
      </w:r>
      <w:r w:rsidRPr="0031631D">
        <w:rPr>
          <w:lang w:val="en-US"/>
        </w:rPr>
        <w:t xml:space="preserve"> № 2.  pp. 9-42.</w:t>
      </w:r>
    </w:p>
    <w:p w14:paraId="45B7F9F7" w14:textId="77777777" w:rsidR="001406F0" w:rsidRPr="001406F0" w:rsidRDefault="001406F0" w:rsidP="001406F0">
      <w:pPr>
        <w:spacing w:before="120" w:line="240" w:lineRule="auto"/>
        <w:ind w:left="142" w:firstLine="0"/>
        <w:rPr>
          <w:lang w:val="en-US"/>
        </w:rPr>
      </w:pPr>
      <w:proofErr w:type="spellStart"/>
      <w:r w:rsidRPr="001406F0">
        <w:rPr>
          <w:lang w:val="en-US"/>
        </w:rPr>
        <w:t>Dolmatova</w:t>
      </w:r>
      <w:proofErr w:type="spellEnd"/>
      <w:r w:rsidRPr="001406F0">
        <w:rPr>
          <w:lang w:val="en-US"/>
        </w:rPr>
        <w:t>,</w:t>
      </w:r>
      <w:r w:rsidRPr="0031631D">
        <w:rPr>
          <w:lang w:val="en-US"/>
        </w:rPr>
        <w:t xml:space="preserve"> </w:t>
      </w:r>
      <w:r w:rsidRPr="001406F0">
        <w:rPr>
          <w:lang w:val="en-US"/>
        </w:rPr>
        <w:t xml:space="preserve">M., </w:t>
      </w:r>
      <w:proofErr w:type="spellStart"/>
      <w:r w:rsidRPr="001406F0">
        <w:rPr>
          <w:lang w:val="en-US"/>
        </w:rPr>
        <w:t>Kozlovskiy</w:t>
      </w:r>
      <w:proofErr w:type="spellEnd"/>
      <w:r w:rsidRPr="001406F0">
        <w:rPr>
          <w:lang w:val="en-US"/>
        </w:rPr>
        <w:t>,</w:t>
      </w:r>
      <w:r w:rsidRPr="0031631D">
        <w:rPr>
          <w:lang w:val="en-US"/>
        </w:rPr>
        <w:t xml:space="preserve"> </w:t>
      </w:r>
      <w:r w:rsidRPr="001406F0">
        <w:rPr>
          <w:lang w:val="en-US"/>
        </w:rPr>
        <w:t xml:space="preserve">D., </w:t>
      </w:r>
      <w:proofErr w:type="spellStart"/>
      <w:r w:rsidRPr="001406F0">
        <w:rPr>
          <w:lang w:val="en-US"/>
        </w:rPr>
        <w:t>Khrustaleva</w:t>
      </w:r>
      <w:proofErr w:type="spellEnd"/>
      <w:r w:rsidRPr="001406F0">
        <w:rPr>
          <w:lang w:val="en-US"/>
        </w:rPr>
        <w:t>,</w:t>
      </w:r>
      <w:r w:rsidRPr="0031631D">
        <w:rPr>
          <w:lang w:val="en-US"/>
        </w:rPr>
        <w:t xml:space="preserve"> </w:t>
      </w:r>
      <w:r w:rsidRPr="001406F0">
        <w:rPr>
          <w:lang w:val="en-US"/>
        </w:rPr>
        <w:t xml:space="preserve">O., </w:t>
      </w:r>
      <w:proofErr w:type="spellStart"/>
      <w:r w:rsidRPr="001406F0">
        <w:rPr>
          <w:lang w:val="en-US"/>
        </w:rPr>
        <w:t>Sultanova</w:t>
      </w:r>
      <w:proofErr w:type="spellEnd"/>
      <w:r w:rsidRPr="001406F0">
        <w:rPr>
          <w:lang w:val="en-US"/>
        </w:rPr>
        <w:t>,</w:t>
      </w:r>
      <w:r w:rsidRPr="0031631D">
        <w:rPr>
          <w:lang w:val="en-US"/>
        </w:rPr>
        <w:t xml:space="preserve"> </w:t>
      </w:r>
      <w:r w:rsidRPr="001406F0">
        <w:rPr>
          <w:lang w:val="en-US"/>
        </w:rPr>
        <w:t xml:space="preserve">T., </w:t>
      </w:r>
      <w:proofErr w:type="spellStart"/>
      <w:r w:rsidRPr="001406F0">
        <w:rPr>
          <w:lang w:val="en-US"/>
        </w:rPr>
        <w:t>Vasin</w:t>
      </w:r>
      <w:proofErr w:type="spellEnd"/>
      <w:r w:rsidRPr="001406F0">
        <w:rPr>
          <w:lang w:val="en-US"/>
        </w:rPr>
        <w:t>,</w:t>
      </w:r>
      <w:r w:rsidRPr="0031631D">
        <w:rPr>
          <w:lang w:val="en-US"/>
        </w:rPr>
        <w:t xml:space="preserve"> </w:t>
      </w:r>
      <w:r w:rsidRPr="001406F0">
        <w:rPr>
          <w:lang w:val="en-US"/>
        </w:rPr>
        <w:t xml:space="preserve">A. (2021) Market parameters dependent indices for competition evaluation in electricity market. </w:t>
      </w:r>
      <w:r w:rsidRPr="005D24D2">
        <w:rPr>
          <w:i/>
          <w:iCs/>
          <w:lang w:val="en-US"/>
        </w:rPr>
        <w:t>Electric Power Systems Research</w:t>
      </w:r>
      <w:r w:rsidRPr="001406F0">
        <w:rPr>
          <w:lang w:val="en-US"/>
        </w:rPr>
        <w:t xml:space="preserve">. V. 190, </w:t>
      </w:r>
      <w:r w:rsidRPr="00B906DD">
        <w:rPr>
          <w:lang w:val="en-US"/>
        </w:rPr>
        <w:t>p</w:t>
      </w:r>
      <w:r w:rsidRPr="001406F0">
        <w:rPr>
          <w:lang w:val="en-US"/>
        </w:rPr>
        <w:t>. 106762.</w:t>
      </w:r>
    </w:p>
    <w:p w14:paraId="5290E218" w14:textId="25B969C5" w:rsidR="00857D7F" w:rsidRPr="001406F0" w:rsidRDefault="00857D7F" w:rsidP="001406F0">
      <w:pPr>
        <w:spacing w:before="120" w:line="240" w:lineRule="auto"/>
        <w:ind w:left="142" w:firstLine="0"/>
        <w:rPr>
          <w:lang w:val="en-US"/>
        </w:rPr>
      </w:pPr>
      <w:proofErr w:type="spellStart"/>
      <w:r w:rsidRPr="001406F0">
        <w:rPr>
          <w:lang w:val="en-US"/>
        </w:rPr>
        <w:t>Dzuba</w:t>
      </w:r>
      <w:proofErr w:type="spellEnd"/>
      <w:r w:rsidRPr="001406F0">
        <w:rPr>
          <w:lang w:val="en-US"/>
        </w:rPr>
        <w:t xml:space="preserve"> S., </w:t>
      </w:r>
      <w:proofErr w:type="spellStart"/>
      <w:r w:rsidRPr="001406F0">
        <w:rPr>
          <w:lang w:val="en-US"/>
        </w:rPr>
        <w:t>Krylov</w:t>
      </w:r>
      <w:proofErr w:type="spellEnd"/>
      <w:r w:rsidRPr="001406F0">
        <w:rPr>
          <w:lang w:val="en-US"/>
        </w:rPr>
        <w:t xml:space="preserve"> D. Cluster Analysis of Financial Strategies of Companies. </w:t>
      </w:r>
      <w:r w:rsidRPr="005D24D2">
        <w:rPr>
          <w:i/>
          <w:iCs/>
          <w:lang w:val="en-US"/>
        </w:rPr>
        <w:t>Mathematics</w:t>
      </w:r>
      <w:r w:rsidRPr="001406F0">
        <w:rPr>
          <w:lang w:val="en-US"/>
        </w:rPr>
        <w:t xml:space="preserve">, 2021, 9(24), 3192; </w:t>
      </w:r>
      <w:hyperlink r:id="rId5" w:history="1">
        <w:r w:rsidR="001406F0" w:rsidRPr="001406F0">
          <w:rPr>
            <w:rStyle w:val="a4"/>
            <w:lang w:val="en-US"/>
          </w:rPr>
          <w:t>https://doi.org/10.3390/math9243192</w:t>
        </w:r>
      </w:hyperlink>
    </w:p>
    <w:p w14:paraId="0C346DF2" w14:textId="15C35EF9" w:rsidR="001406F0" w:rsidRPr="001406F0" w:rsidRDefault="001406F0" w:rsidP="001406F0">
      <w:pPr>
        <w:spacing w:before="120" w:line="240" w:lineRule="auto"/>
        <w:ind w:left="142" w:firstLine="0"/>
        <w:rPr>
          <w:lang w:val="en-US"/>
        </w:rPr>
      </w:pPr>
      <w:proofErr w:type="spellStart"/>
      <w:r w:rsidRPr="001406F0">
        <w:rPr>
          <w:lang w:val="en-US"/>
        </w:rPr>
        <w:t>Kuzmin</w:t>
      </w:r>
      <w:proofErr w:type="spellEnd"/>
      <w:r w:rsidRPr="001406F0">
        <w:rPr>
          <w:lang w:val="en-US"/>
        </w:rPr>
        <w:t>, E.A.</w:t>
      </w:r>
      <w:r w:rsidRPr="00B906DD">
        <w:rPr>
          <w:lang w:val="en-US"/>
        </w:rPr>
        <w:t>,</w:t>
      </w:r>
      <w:r w:rsidRPr="001406F0">
        <w:rPr>
          <w:lang w:val="en-US"/>
        </w:rPr>
        <w:t xml:space="preserve"> Volkova</w:t>
      </w:r>
      <w:r w:rsidRPr="00B906DD">
        <w:rPr>
          <w:lang w:val="en-US"/>
        </w:rPr>
        <w:t xml:space="preserve">, </w:t>
      </w:r>
      <w:r w:rsidRPr="001406F0">
        <w:rPr>
          <w:lang w:val="en-US"/>
        </w:rPr>
        <w:t xml:space="preserve">E.E., </w:t>
      </w:r>
      <w:proofErr w:type="spellStart"/>
      <w:r w:rsidRPr="001406F0">
        <w:rPr>
          <w:lang w:val="en-US"/>
        </w:rPr>
        <w:t>Fomina</w:t>
      </w:r>
      <w:proofErr w:type="spellEnd"/>
      <w:r w:rsidRPr="00B906DD">
        <w:rPr>
          <w:lang w:val="en-US"/>
        </w:rPr>
        <w:t>,</w:t>
      </w:r>
      <w:r w:rsidRPr="001406F0">
        <w:rPr>
          <w:lang w:val="en-US"/>
        </w:rPr>
        <w:t xml:space="preserve"> A.V. </w:t>
      </w:r>
      <w:r w:rsidRPr="00B906DD">
        <w:rPr>
          <w:lang w:val="en-US"/>
        </w:rPr>
        <w:t xml:space="preserve">(2019) </w:t>
      </w:r>
      <w:r w:rsidRPr="001406F0">
        <w:rPr>
          <w:lang w:val="en-US"/>
        </w:rPr>
        <w:t>Research on the concentration of companies in the electric power market of Russia</w:t>
      </w:r>
      <w:r w:rsidRPr="00B906DD">
        <w:rPr>
          <w:lang w:val="en-US"/>
        </w:rPr>
        <w:t>.</w:t>
      </w:r>
      <w:r w:rsidRPr="001406F0">
        <w:rPr>
          <w:lang w:val="en-US"/>
        </w:rPr>
        <w:t xml:space="preserve"> </w:t>
      </w:r>
      <w:r w:rsidRPr="005D24D2">
        <w:rPr>
          <w:i/>
          <w:iCs/>
          <w:lang w:val="en-US"/>
        </w:rPr>
        <w:t>International Journal of Energy Economics and Policy</w:t>
      </w:r>
      <w:r w:rsidRPr="001406F0">
        <w:rPr>
          <w:lang w:val="en-US"/>
        </w:rPr>
        <w:t>.</w:t>
      </w:r>
      <w:r w:rsidRPr="00B906DD">
        <w:rPr>
          <w:lang w:val="en-US"/>
        </w:rPr>
        <w:t xml:space="preserve"> V</w:t>
      </w:r>
      <w:r w:rsidRPr="001406F0">
        <w:rPr>
          <w:lang w:val="en-US"/>
        </w:rPr>
        <w:t>. 9. №1. pp. 130-136. Available at: https://doi.org/10.32479/ijeep.7169</w:t>
      </w:r>
    </w:p>
    <w:p w14:paraId="4952D5A0" w14:textId="77777777" w:rsidR="001406F0" w:rsidRPr="001406F0" w:rsidRDefault="001406F0" w:rsidP="004B5B80">
      <w:pPr>
        <w:rPr>
          <w:sz w:val="28"/>
          <w:szCs w:val="28"/>
          <w:lang w:val="en-US"/>
        </w:rPr>
      </w:pPr>
    </w:p>
    <w:sectPr w:rsidR="001406F0" w:rsidRPr="00140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notTrueType/>
    <w:pitch w:val="variable"/>
    <w:sig w:usb0="800002E7" w:usb1="2AC7FCFF"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2DB9"/>
    <w:multiLevelType w:val="hybridMultilevel"/>
    <w:tmpl w:val="2000E714"/>
    <w:lvl w:ilvl="0" w:tplc="B3BE0CEC">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6874BE5"/>
    <w:multiLevelType w:val="hybridMultilevel"/>
    <w:tmpl w:val="8F16B2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6612275"/>
    <w:multiLevelType w:val="multilevel"/>
    <w:tmpl w:val="611E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923E6"/>
    <w:multiLevelType w:val="multilevel"/>
    <w:tmpl w:val="611E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304263">
    <w:abstractNumId w:val="1"/>
  </w:num>
  <w:num w:numId="2" w16cid:durableId="1127428144">
    <w:abstractNumId w:val="0"/>
  </w:num>
  <w:num w:numId="3" w16cid:durableId="1293823864">
    <w:abstractNumId w:val="3"/>
  </w:num>
  <w:num w:numId="4" w16cid:durableId="810826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B1"/>
    <w:rsid w:val="00003112"/>
    <w:rsid w:val="00026F8A"/>
    <w:rsid w:val="00032B8F"/>
    <w:rsid w:val="00033726"/>
    <w:rsid w:val="0004348D"/>
    <w:rsid w:val="000516C4"/>
    <w:rsid w:val="0005499D"/>
    <w:rsid w:val="00086889"/>
    <w:rsid w:val="000C6993"/>
    <w:rsid w:val="000D1F23"/>
    <w:rsid w:val="000E0274"/>
    <w:rsid w:val="001406F0"/>
    <w:rsid w:val="00177F03"/>
    <w:rsid w:val="001A3200"/>
    <w:rsid w:val="001A69AD"/>
    <w:rsid w:val="001B655E"/>
    <w:rsid w:val="001D725C"/>
    <w:rsid w:val="002D009F"/>
    <w:rsid w:val="002D0E65"/>
    <w:rsid w:val="002D1F5D"/>
    <w:rsid w:val="0031631D"/>
    <w:rsid w:val="003313C4"/>
    <w:rsid w:val="003913B1"/>
    <w:rsid w:val="00393E76"/>
    <w:rsid w:val="003B673A"/>
    <w:rsid w:val="003C67C1"/>
    <w:rsid w:val="0041479D"/>
    <w:rsid w:val="004231DD"/>
    <w:rsid w:val="00427138"/>
    <w:rsid w:val="00430CD7"/>
    <w:rsid w:val="00435822"/>
    <w:rsid w:val="004B5B80"/>
    <w:rsid w:val="004F4084"/>
    <w:rsid w:val="004F59E9"/>
    <w:rsid w:val="0051012C"/>
    <w:rsid w:val="005125FA"/>
    <w:rsid w:val="00582ECA"/>
    <w:rsid w:val="00590B67"/>
    <w:rsid w:val="00597645"/>
    <w:rsid w:val="005D24D2"/>
    <w:rsid w:val="0060485C"/>
    <w:rsid w:val="00613065"/>
    <w:rsid w:val="006160D5"/>
    <w:rsid w:val="00632057"/>
    <w:rsid w:val="006337F6"/>
    <w:rsid w:val="00640108"/>
    <w:rsid w:val="006522EC"/>
    <w:rsid w:val="0067702A"/>
    <w:rsid w:val="006F0CBE"/>
    <w:rsid w:val="00725694"/>
    <w:rsid w:val="00730811"/>
    <w:rsid w:val="00742E65"/>
    <w:rsid w:val="00751267"/>
    <w:rsid w:val="00762C2E"/>
    <w:rsid w:val="0077135F"/>
    <w:rsid w:val="007743CD"/>
    <w:rsid w:val="00783580"/>
    <w:rsid w:val="007F22A2"/>
    <w:rsid w:val="00837721"/>
    <w:rsid w:val="00840DF4"/>
    <w:rsid w:val="00857D7F"/>
    <w:rsid w:val="00891141"/>
    <w:rsid w:val="00896864"/>
    <w:rsid w:val="008A109A"/>
    <w:rsid w:val="008C5CD7"/>
    <w:rsid w:val="008E129C"/>
    <w:rsid w:val="009009DE"/>
    <w:rsid w:val="009022D2"/>
    <w:rsid w:val="00904510"/>
    <w:rsid w:val="009533A0"/>
    <w:rsid w:val="009925C7"/>
    <w:rsid w:val="00993FC2"/>
    <w:rsid w:val="009B3A82"/>
    <w:rsid w:val="009C2657"/>
    <w:rsid w:val="009C3CA2"/>
    <w:rsid w:val="009D3002"/>
    <w:rsid w:val="009E3D09"/>
    <w:rsid w:val="00A00A22"/>
    <w:rsid w:val="00A5683C"/>
    <w:rsid w:val="00AB3AAE"/>
    <w:rsid w:val="00AD4044"/>
    <w:rsid w:val="00B1035A"/>
    <w:rsid w:val="00B2341B"/>
    <w:rsid w:val="00B5342B"/>
    <w:rsid w:val="00B53F31"/>
    <w:rsid w:val="00B65119"/>
    <w:rsid w:val="00B906DD"/>
    <w:rsid w:val="00B93CEA"/>
    <w:rsid w:val="00BE290C"/>
    <w:rsid w:val="00BF4722"/>
    <w:rsid w:val="00C1027B"/>
    <w:rsid w:val="00CA2A96"/>
    <w:rsid w:val="00CA66BC"/>
    <w:rsid w:val="00CD2793"/>
    <w:rsid w:val="00CD594E"/>
    <w:rsid w:val="00D03DC1"/>
    <w:rsid w:val="00D251A1"/>
    <w:rsid w:val="00D259CF"/>
    <w:rsid w:val="00D4086B"/>
    <w:rsid w:val="00D6525D"/>
    <w:rsid w:val="00D81BEE"/>
    <w:rsid w:val="00DA5767"/>
    <w:rsid w:val="00DB600C"/>
    <w:rsid w:val="00DE0E78"/>
    <w:rsid w:val="00DF7F70"/>
    <w:rsid w:val="00E079CB"/>
    <w:rsid w:val="00E5771C"/>
    <w:rsid w:val="00E60229"/>
    <w:rsid w:val="00E624EB"/>
    <w:rsid w:val="00E71405"/>
    <w:rsid w:val="00E81486"/>
    <w:rsid w:val="00E85176"/>
    <w:rsid w:val="00E97638"/>
    <w:rsid w:val="00EC30CF"/>
    <w:rsid w:val="00EC5D5D"/>
    <w:rsid w:val="00ED1BEF"/>
    <w:rsid w:val="00ED6F1C"/>
    <w:rsid w:val="00F20DF5"/>
    <w:rsid w:val="00F30534"/>
    <w:rsid w:val="00F3589A"/>
    <w:rsid w:val="00F6084B"/>
    <w:rsid w:val="00F87D81"/>
    <w:rsid w:val="00F92962"/>
    <w:rsid w:val="00FA121A"/>
    <w:rsid w:val="00FB0B02"/>
    <w:rsid w:val="00FE3C3B"/>
    <w:rsid w:val="00FE53E9"/>
    <w:rsid w:val="00FE697B"/>
    <w:rsid w:val="00FF2E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99CC9"/>
  <w15:docId w15:val="{7C6136E4-B99A-E64E-BA6D-7E8FB4C4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71C"/>
    <w:pPr>
      <w:spacing w:after="0" w:line="360" w:lineRule="auto"/>
      <w:ind w:firstLine="567"/>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41B"/>
    <w:pPr>
      <w:spacing w:after="200"/>
      <w:ind w:left="720"/>
      <w:contextualSpacing/>
    </w:pPr>
    <w:rPr>
      <w:rFonts w:eastAsiaTheme="minorEastAsia"/>
      <w:lang w:val="en-US" w:bidi="en-US"/>
    </w:rPr>
  </w:style>
  <w:style w:type="character" w:styleId="a4">
    <w:name w:val="Hyperlink"/>
    <w:basedOn w:val="a0"/>
    <w:uiPriority w:val="99"/>
    <w:unhideWhenUsed/>
    <w:rsid w:val="00F87D81"/>
    <w:rPr>
      <w:color w:val="0563C1" w:themeColor="hyperlink"/>
      <w:u w:val="single"/>
    </w:rPr>
  </w:style>
  <w:style w:type="character" w:customStyle="1" w:styleId="1">
    <w:name w:val="Неразрешенное упоминание1"/>
    <w:basedOn w:val="a0"/>
    <w:uiPriority w:val="99"/>
    <w:semiHidden/>
    <w:unhideWhenUsed/>
    <w:rsid w:val="00F87D81"/>
    <w:rPr>
      <w:color w:val="605E5C"/>
      <w:shd w:val="clear" w:color="auto" w:fill="E1DFDD"/>
    </w:rPr>
  </w:style>
  <w:style w:type="character" w:styleId="a5">
    <w:name w:val="FollowedHyperlink"/>
    <w:basedOn w:val="a0"/>
    <w:uiPriority w:val="99"/>
    <w:semiHidden/>
    <w:unhideWhenUsed/>
    <w:rsid w:val="00FE53E9"/>
    <w:rPr>
      <w:color w:val="954F72" w:themeColor="followedHyperlink"/>
      <w:u w:val="single"/>
    </w:rPr>
  </w:style>
  <w:style w:type="paragraph" w:styleId="a6">
    <w:name w:val="Balloon Text"/>
    <w:basedOn w:val="a"/>
    <w:link w:val="a7"/>
    <w:uiPriority w:val="99"/>
    <w:semiHidden/>
    <w:unhideWhenUsed/>
    <w:rsid w:val="006522EC"/>
    <w:pPr>
      <w:spacing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6522EC"/>
    <w:rPr>
      <w:rFonts w:ascii="Lucida Grande CY" w:hAnsi="Lucida Grande CY" w:cs="Lucida Grande CY"/>
      <w:sz w:val="18"/>
      <w:szCs w:val="18"/>
    </w:rPr>
  </w:style>
  <w:style w:type="paragraph" w:styleId="a8">
    <w:name w:val="Normal (Web)"/>
    <w:basedOn w:val="a"/>
    <w:uiPriority w:val="99"/>
    <w:semiHidden/>
    <w:unhideWhenUsed/>
    <w:rsid w:val="00DE0E78"/>
    <w:pPr>
      <w:spacing w:before="100" w:beforeAutospacing="1" w:after="100" w:afterAutospacing="1" w:line="240" w:lineRule="auto"/>
      <w:ind w:firstLine="0"/>
      <w:jc w:val="left"/>
    </w:pPr>
    <w:rPr>
      <w:rFonts w:eastAsia="Times New Roman"/>
      <w:lang w:eastAsia="ru-RU"/>
    </w:rPr>
  </w:style>
  <w:style w:type="character" w:styleId="a9">
    <w:name w:val="Unresolved Mention"/>
    <w:basedOn w:val="a0"/>
    <w:uiPriority w:val="99"/>
    <w:semiHidden/>
    <w:unhideWhenUsed/>
    <w:rsid w:val="0014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87967">
      <w:bodyDiv w:val="1"/>
      <w:marLeft w:val="0"/>
      <w:marRight w:val="0"/>
      <w:marTop w:val="0"/>
      <w:marBottom w:val="0"/>
      <w:divBdr>
        <w:top w:val="none" w:sz="0" w:space="0" w:color="auto"/>
        <w:left w:val="none" w:sz="0" w:space="0" w:color="auto"/>
        <w:bottom w:val="none" w:sz="0" w:space="0" w:color="auto"/>
        <w:right w:val="none" w:sz="0" w:space="0" w:color="auto"/>
      </w:divBdr>
    </w:div>
    <w:div w:id="955714881">
      <w:bodyDiv w:val="1"/>
      <w:marLeft w:val="0"/>
      <w:marRight w:val="0"/>
      <w:marTop w:val="0"/>
      <w:marBottom w:val="0"/>
      <w:divBdr>
        <w:top w:val="none" w:sz="0" w:space="0" w:color="auto"/>
        <w:left w:val="none" w:sz="0" w:space="0" w:color="auto"/>
        <w:bottom w:val="none" w:sz="0" w:space="0" w:color="auto"/>
        <w:right w:val="none" w:sz="0" w:space="0" w:color="auto"/>
      </w:divBdr>
    </w:div>
    <w:div w:id="1257589427">
      <w:bodyDiv w:val="1"/>
      <w:marLeft w:val="0"/>
      <w:marRight w:val="0"/>
      <w:marTop w:val="0"/>
      <w:marBottom w:val="0"/>
      <w:divBdr>
        <w:top w:val="none" w:sz="0" w:space="0" w:color="auto"/>
        <w:left w:val="none" w:sz="0" w:space="0" w:color="auto"/>
        <w:bottom w:val="none" w:sz="0" w:space="0" w:color="auto"/>
        <w:right w:val="none" w:sz="0" w:space="0" w:color="auto"/>
      </w:divBdr>
      <w:divsChild>
        <w:div w:id="959724236">
          <w:marLeft w:val="0"/>
          <w:marRight w:val="0"/>
          <w:marTop w:val="0"/>
          <w:marBottom w:val="0"/>
          <w:divBdr>
            <w:top w:val="none" w:sz="0" w:space="0" w:color="auto"/>
            <w:left w:val="none" w:sz="0" w:space="0" w:color="auto"/>
            <w:bottom w:val="none" w:sz="0" w:space="0" w:color="auto"/>
            <w:right w:val="none" w:sz="0" w:space="0" w:color="auto"/>
          </w:divBdr>
          <w:divsChild>
            <w:div w:id="261689980">
              <w:marLeft w:val="0"/>
              <w:marRight w:val="0"/>
              <w:marTop w:val="0"/>
              <w:marBottom w:val="0"/>
              <w:divBdr>
                <w:top w:val="none" w:sz="0" w:space="0" w:color="auto"/>
                <w:left w:val="none" w:sz="0" w:space="0" w:color="auto"/>
                <w:bottom w:val="none" w:sz="0" w:space="0" w:color="auto"/>
                <w:right w:val="none" w:sz="0" w:space="0" w:color="auto"/>
              </w:divBdr>
              <w:divsChild>
                <w:div w:id="17885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2571">
      <w:bodyDiv w:val="1"/>
      <w:marLeft w:val="0"/>
      <w:marRight w:val="0"/>
      <w:marTop w:val="0"/>
      <w:marBottom w:val="0"/>
      <w:divBdr>
        <w:top w:val="none" w:sz="0" w:space="0" w:color="auto"/>
        <w:left w:val="none" w:sz="0" w:space="0" w:color="auto"/>
        <w:bottom w:val="none" w:sz="0" w:space="0" w:color="auto"/>
        <w:right w:val="none" w:sz="0" w:space="0" w:color="auto"/>
      </w:divBdr>
      <w:divsChild>
        <w:div w:id="119960600">
          <w:marLeft w:val="0"/>
          <w:marRight w:val="0"/>
          <w:marTop w:val="0"/>
          <w:marBottom w:val="0"/>
          <w:divBdr>
            <w:top w:val="none" w:sz="0" w:space="0" w:color="auto"/>
            <w:left w:val="none" w:sz="0" w:space="0" w:color="auto"/>
            <w:bottom w:val="none" w:sz="0" w:space="0" w:color="auto"/>
            <w:right w:val="none" w:sz="0" w:space="0" w:color="auto"/>
          </w:divBdr>
          <w:divsChild>
            <w:div w:id="1322077616">
              <w:marLeft w:val="0"/>
              <w:marRight w:val="0"/>
              <w:marTop w:val="0"/>
              <w:marBottom w:val="0"/>
              <w:divBdr>
                <w:top w:val="none" w:sz="0" w:space="0" w:color="auto"/>
                <w:left w:val="none" w:sz="0" w:space="0" w:color="auto"/>
                <w:bottom w:val="none" w:sz="0" w:space="0" w:color="auto"/>
                <w:right w:val="none" w:sz="0" w:space="0" w:color="auto"/>
              </w:divBdr>
              <w:divsChild>
                <w:div w:id="8046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390/math9243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Total Alex II</dc:creator>
  <cp:keywords/>
  <dc:description/>
  <cp:lastModifiedBy>Microsoft Office User</cp:lastModifiedBy>
  <cp:revision>3</cp:revision>
  <cp:lastPrinted>2021-11-13T17:18:00Z</cp:lastPrinted>
  <dcterms:created xsi:type="dcterms:W3CDTF">2022-11-13T10:19:00Z</dcterms:created>
  <dcterms:modified xsi:type="dcterms:W3CDTF">2022-11-13T10:21:00Z</dcterms:modified>
</cp:coreProperties>
</file>