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D6F7" w14:textId="32DEA3FC" w:rsidR="00BB273F" w:rsidRPr="002A0506" w:rsidRDefault="00835126" w:rsidP="001B3864">
      <w:pPr>
        <w:spacing w:line="360" w:lineRule="auto"/>
        <w:jc w:val="center"/>
        <w:rPr>
          <w:lang w:val="en-US"/>
        </w:rPr>
      </w:pPr>
      <w:r w:rsidRPr="002A0506">
        <w:rPr>
          <w:lang w:val="en-US"/>
        </w:rPr>
        <w:t xml:space="preserve"> «</w:t>
      </w:r>
      <w:r w:rsidR="002A0506" w:rsidRPr="002A0506">
        <w:rPr>
          <w:lang w:val="en-US"/>
        </w:rPr>
        <w:t>Modeling the effects of carbon regulation for Russia using a computable general equilibrium model</w:t>
      </w:r>
      <w:r w:rsidR="009C25A6">
        <w:rPr>
          <w:lang w:val="en-US"/>
        </w:rPr>
        <w:t xml:space="preserve"> GTAP-E</w:t>
      </w:r>
      <w:r w:rsidRPr="002A0506">
        <w:rPr>
          <w:lang w:val="en-US"/>
        </w:rPr>
        <w:t>»</w:t>
      </w:r>
    </w:p>
    <w:p w14:paraId="1ED128A8" w14:textId="1042F8CE" w:rsidR="002A0506" w:rsidRDefault="002A0506" w:rsidP="00835126">
      <w:pPr>
        <w:spacing w:line="360" w:lineRule="auto"/>
        <w:ind w:firstLine="709"/>
        <w:jc w:val="both"/>
        <w:rPr>
          <w:lang w:val="en-US"/>
        </w:rPr>
      </w:pPr>
      <w:r w:rsidRPr="002A0506">
        <w:rPr>
          <w:lang w:val="en-US"/>
        </w:rPr>
        <w:t xml:space="preserve">The climate agenda is important for the Russian economy, as the decline in global demand for traditional energy sources in the long term will significantly affect the structure of the economy and budget policy. Climate issues are also relevant for many developing </w:t>
      </w:r>
      <w:proofErr w:type="gramStart"/>
      <w:r w:rsidR="002F4A1B" w:rsidRPr="002A0506">
        <w:rPr>
          <w:lang w:val="en-US"/>
        </w:rPr>
        <w:t>countries</w:t>
      </w:r>
      <w:r w:rsidR="002F4A1B">
        <w:rPr>
          <w:lang w:val="en-US"/>
        </w:rPr>
        <w:t>,</w:t>
      </w:r>
      <w:proofErr w:type="gramEnd"/>
      <w:r w:rsidRPr="002A0506">
        <w:rPr>
          <w:lang w:val="en-US"/>
        </w:rPr>
        <w:t xml:space="preserve"> </w:t>
      </w:r>
      <w:r w:rsidR="002F4A1B">
        <w:rPr>
          <w:lang w:val="en-US"/>
        </w:rPr>
        <w:t>thus</w:t>
      </w:r>
      <w:r w:rsidRPr="002A0506">
        <w:rPr>
          <w:lang w:val="en-US"/>
        </w:rPr>
        <w:t xml:space="preserve"> </w:t>
      </w:r>
      <w:r w:rsidR="002F4A1B">
        <w:rPr>
          <w:lang w:val="en-US"/>
        </w:rPr>
        <w:t>it</w:t>
      </w:r>
      <w:r w:rsidRPr="002A0506">
        <w:rPr>
          <w:lang w:val="en-US"/>
        </w:rPr>
        <w:t xml:space="preserve"> requires cooperation</w:t>
      </w:r>
      <w:r w:rsidR="002F4A1B">
        <w:rPr>
          <w:lang w:val="en-US"/>
        </w:rPr>
        <w:t xml:space="preserve"> between countries</w:t>
      </w:r>
      <w:r w:rsidRPr="002A0506">
        <w:rPr>
          <w:lang w:val="en-US"/>
        </w:rPr>
        <w:t xml:space="preserve"> to achieve a greater effect on reducing emissions.</w:t>
      </w:r>
    </w:p>
    <w:p w14:paraId="544F8D0C" w14:textId="361F47B0" w:rsidR="0000681C" w:rsidRDefault="002A0506" w:rsidP="002F4A1B">
      <w:pPr>
        <w:spacing w:line="360" w:lineRule="auto"/>
        <w:ind w:firstLine="709"/>
        <w:jc w:val="both"/>
        <w:rPr>
          <w:lang w:val="en-US"/>
        </w:rPr>
      </w:pPr>
      <w:r w:rsidRPr="002A0506">
        <w:rPr>
          <w:lang w:val="en-US"/>
        </w:rPr>
        <w:t xml:space="preserve">In recent years, the policy of introducing a cross-border carbon </w:t>
      </w:r>
      <w:r w:rsidR="0000681C">
        <w:rPr>
          <w:lang w:val="en-US"/>
        </w:rPr>
        <w:t xml:space="preserve">regulation </w:t>
      </w:r>
      <w:r w:rsidR="002F4A1B">
        <w:rPr>
          <w:lang w:val="en-US"/>
        </w:rPr>
        <w:t xml:space="preserve">by EU </w:t>
      </w:r>
      <w:r w:rsidR="0000681C">
        <w:rPr>
          <w:lang w:val="en-US"/>
        </w:rPr>
        <w:t>(</w:t>
      </w:r>
      <w:r w:rsidR="002F4A1B">
        <w:rPr>
          <w:lang w:val="en-US"/>
        </w:rPr>
        <w:t xml:space="preserve">EU </w:t>
      </w:r>
      <w:r w:rsidR="0000681C">
        <w:rPr>
          <w:lang w:val="en-US"/>
        </w:rPr>
        <w:t>CB</w:t>
      </w:r>
      <w:r w:rsidR="002F4A1B">
        <w:rPr>
          <w:lang w:val="en-US"/>
        </w:rPr>
        <w:t>AM</w:t>
      </w:r>
      <w:r w:rsidR="0000681C">
        <w:rPr>
          <w:lang w:val="en-US"/>
        </w:rPr>
        <w:t>)</w:t>
      </w:r>
      <w:r w:rsidRPr="002A0506">
        <w:rPr>
          <w:lang w:val="en-US"/>
        </w:rPr>
        <w:t xml:space="preserve"> on imports of </w:t>
      </w:r>
      <w:r w:rsidR="002F4A1B" w:rsidRPr="002A0506">
        <w:rPr>
          <w:lang w:val="en-US"/>
        </w:rPr>
        <w:t>several</w:t>
      </w:r>
      <w:r w:rsidRPr="002A0506">
        <w:rPr>
          <w:lang w:val="en-US"/>
        </w:rPr>
        <w:t xml:space="preserve"> goods has been actively discussed</w:t>
      </w:r>
      <w:r w:rsidR="002C5B3E" w:rsidRPr="002A0506">
        <w:rPr>
          <w:lang w:val="en-US"/>
        </w:rPr>
        <w:t>.</w:t>
      </w:r>
      <w:r w:rsidR="002F4A1B">
        <w:rPr>
          <w:lang w:val="en-US"/>
        </w:rPr>
        <w:t xml:space="preserve"> </w:t>
      </w:r>
      <w:r w:rsidR="0000681C" w:rsidRPr="0000681C">
        <w:rPr>
          <w:lang w:val="en-US"/>
        </w:rPr>
        <w:t xml:space="preserve">This paper </w:t>
      </w:r>
      <w:r w:rsidR="002F4A1B">
        <w:rPr>
          <w:lang w:val="en-US"/>
        </w:rPr>
        <w:t>estimates</w:t>
      </w:r>
      <w:r w:rsidR="0000681C" w:rsidRPr="0000681C">
        <w:rPr>
          <w:lang w:val="en-US"/>
        </w:rPr>
        <w:t xml:space="preserve"> the impact of EU CB</w:t>
      </w:r>
      <w:r w:rsidR="002F4A1B">
        <w:rPr>
          <w:lang w:val="en-US"/>
        </w:rPr>
        <w:t>AM</w:t>
      </w:r>
      <w:r w:rsidR="0000681C" w:rsidRPr="0000681C">
        <w:rPr>
          <w:lang w:val="en-US"/>
        </w:rPr>
        <w:t xml:space="preserve"> on Russia and the EAEU countries. </w:t>
      </w:r>
      <w:r w:rsidR="002F4A1B">
        <w:rPr>
          <w:lang w:val="en-US"/>
        </w:rPr>
        <w:t>We provide estimations of t</w:t>
      </w:r>
      <w:r w:rsidR="0000681C" w:rsidRPr="0000681C">
        <w:rPr>
          <w:lang w:val="en-US"/>
        </w:rPr>
        <w:t>he impact on GDP, industry output and trade flows</w:t>
      </w:r>
      <w:r w:rsidR="002F4A1B">
        <w:rPr>
          <w:lang w:val="en-US"/>
        </w:rPr>
        <w:t>. We use</w:t>
      </w:r>
      <w:r w:rsidR="0000681C" w:rsidRPr="0000681C">
        <w:rPr>
          <w:lang w:val="en-US"/>
        </w:rPr>
        <w:t xml:space="preserve"> </w:t>
      </w:r>
      <w:r w:rsidR="002F4A1B">
        <w:rPr>
          <w:lang w:val="en-US"/>
        </w:rPr>
        <w:t>t</w:t>
      </w:r>
      <w:r w:rsidR="0000681C" w:rsidRPr="0000681C">
        <w:rPr>
          <w:lang w:val="en-US"/>
        </w:rPr>
        <w:t>he computable general equilibrium model GTAP-E</w:t>
      </w:r>
      <w:r w:rsidR="0000681C">
        <w:rPr>
          <w:rStyle w:val="a5"/>
          <w:lang w:val="en-US"/>
        </w:rPr>
        <w:footnoteReference w:id="1"/>
      </w:r>
      <w:r w:rsidR="0000681C" w:rsidRPr="0000681C">
        <w:rPr>
          <w:lang w:val="en-US"/>
        </w:rPr>
        <w:t xml:space="preserve">  (Energy) developed by the international GTAP project to evaluate the effects. The model includes information on emissions from the use of energy products in the production, which allows us to study the impact of carbon regulation on the economy. There are </w:t>
      </w:r>
      <w:r w:rsidR="002F4A1B">
        <w:rPr>
          <w:lang w:val="en-US"/>
        </w:rPr>
        <w:t xml:space="preserve">a few </w:t>
      </w:r>
      <w:r w:rsidR="0000681C" w:rsidRPr="0000681C">
        <w:rPr>
          <w:lang w:val="en-US"/>
        </w:rPr>
        <w:t>cross-country studies in the literature on the impact of the EU CB</w:t>
      </w:r>
      <w:r w:rsidR="002F4A1B">
        <w:rPr>
          <w:lang w:val="en-US"/>
        </w:rPr>
        <w:t>AM</w:t>
      </w:r>
      <w:r w:rsidR="0000681C" w:rsidRPr="0000681C">
        <w:rPr>
          <w:lang w:val="en-US"/>
        </w:rPr>
        <w:t xml:space="preserve"> for several countries</w:t>
      </w:r>
      <w:r w:rsidR="0000681C">
        <w:rPr>
          <w:rStyle w:val="a5"/>
        </w:rPr>
        <w:footnoteReference w:id="2"/>
      </w:r>
      <w:r w:rsidR="0000681C" w:rsidRPr="0000681C">
        <w:rPr>
          <w:lang w:val="en-US"/>
        </w:rPr>
        <w:t xml:space="preserve"> , but the current work focuses on the EAEU countries.</w:t>
      </w:r>
    </w:p>
    <w:p w14:paraId="7A422018" w14:textId="106840C2" w:rsidR="0000681C" w:rsidRDefault="002F4A1B" w:rsidP="002A0506">
      <w:pPr>
        <w:spacing w:line="360" w:lineRule="auto"/>
        <w:ind w:firstLine="709"/>
        <w:jc w:val="both"/>
        <w:rPr>
          <w:lang w:val="en-US"/>
        </w:rPr>
      </w:pPr>
      <w:r>
        <w:rPr>
          <w:lang w:val="en-US"/>
        </w:rPr>
        <w:t>Concerning methodology, t</w:t>
      </w:r>
      <w:r w:rsidR="0000681C" w:rsidRPr="0000681C">
        <w:rPr>
          <w:lang w:val="en-US"/>
        </w:rPr>
        <w:t>h</w:t>
      </w:r>
      <w:r>
        <w:rPr>
          <w:lang w:val="en-US"/>
        </w:rPr>
        <w:t>e</w:t>
      </w:r>
      <w:r w:rsidR="0000681C" w:rsidRPr="0000681C">
        <w:rPr>
          <w:lang w:val="en-US"/>
        </w:rPr>
        <w:t xml:space="preserve"> data were aggregated into 18 regions and 17 sectors. Among the regions, the EU, North America, China, Russia, Armenia, Belarus, Kazakhstan, Kyrgyzstan, and several other groups of countries were </w:t>
      </w:r>
      <w:r>
        <w:rPr>
          <w:lang w:val="en-US"/>
        </w:rPr>
        <w:t>included</w:t>
      </w:r>
      <w:r w:rsidR="0000681C" w:rsidRPr="0000681C">
        <w:rPr>
          <w:lang w:val="en-US"/>
        </w:rPr>
        <w:t xml:space="preserve">. </w:t>
      </w:r>
      <w:r>
        <w:rPr>
          <w:lang w:val="en-US"/>
        </w:rPr>
        <w:t xml:space="preserve">We </w:t>
      </w:r>
      <w:r>
        <w:rPr>
          <w:lang w:val="en-US"/>
        </w:rPr>
        <w:t>aggregated</w:t>
      </w:r>
      <w:r>
        <w:rPr>
          <w:lang w:val="en-US"/>
        </w:rPr>
        <w:t xml:space="preserve"> </w:t>
      </w:r>
      <w:r w:rsidRPr="0000681C">
        <w:rPr>
          <w:lang w:val="en-US"/>
        </w:rPr>
        <w:t xml:space="preserve">17 </w:t>
      </w:r>
      <w:r>
        <w:rPr>
          <w:lang w:val="en-US"/>
        </w:rPr>
        <w:t xml:space="preserve">sectors: </w:t>
      </w:r>
      <w:r w:rsidR="0000681C" w:rsidRPr="0000681C">
        <w:rPr>
          <w:lang w:val="en-US"/>
        </w:rPr>
        <w:t xml:space="preserve">CBAM sectors (chemical industry, rubber and plastic products, ferrous metals, non-ferrous metals, metal products, mineral products, electricity), energy products (coal, gas, </w:t>
      </w:r>
      <w:proofErr w:type="gramStart"/>
      <w:r w:rsidR="0000681C" w:rsidRPr="0000681C">
        <w:rPr>
          <w:lang w:val="en-US"/>
        </w:rPr>
        <w:t>oil</w:t>
      </w:r>
      <w:proofErr w:type="gramEnd"/>
      <w:r w:rsidR="0000681C" w:rsidRPr="0000681C">
        <w:rPr>
          <w:lang w:val="en-US"/>
        </w:rPr>
        <w:t xml:space="preserve"> and petroleum products) and a number of other industries. </w:t>
      </w:r>
      <w:r>
        <w:rPr>
          <w:lang w:val="en-US"/>
        </w:rPr>
        <w:t xml:space="preserve">We assume that carbon </w:t>
      </w:r>
      <w:r w:rsidR="0000681C" w:rsidRPr="0000681C">
        <w:rPr>
          <w:lang w:val="en-US"/>
        </w:rPr>
        <w:t xml:space="preserve">tax </w:t>
      </w:r>
      <w:r>
        <w:rPr>
          <w:lang w:val="en-US"/>
        </w:rPr>
        <w:t xml:space="preserve">equals </w:t>
      </w:r>
      <w:r w:rsidR="0000681C" w:rsidRPr="0000681C">
        <w:rPr>
          <w:lang w:val="en-US"/>
        </w:rPr>
        <w:t xml:space="preserve">82 US dollars in 2014 prices.  Estimates were made for CBAM Stage 1 (Scope 1) for the period 2026-2030, when only direct emissions from production are </w:t>
      </w:r>
      <w:r w:rsidRPr="0000681C">
        <w:rPr>
          <w:lang w:val="en-US"/>
        </w:rPr>
        <w:t>considered</w:t>
      </w:r>
      <w:r w:rsidR="0000681C" w:rsidRPr="0000681C">
        <w:rPr>
          <w:lang w:val="en-US"/>
        </w:rPr>
        <w:t>. The results showed that the introduction of Scope 1 has a small impact on the economy of Russia and the EAEU countries.</w:t>
      </w:r>
    </w:p>
    <w:p w14:paraId="14900951" w14:textId="31F6A582" w:rsidR="0000681C" w:rsidRPr="0000681C" w:rsidRDefault="0000681C" w:rsidP="002A0506">
      <w:pPr>
        <w:spacing w:line="360" w:lineRule="auto"/>
        <w:ind w:firstLine="709"/>
        <w:jc w:val="both"/>
        <w:rPr>
          <w:lang w:val="en-US"/>
        </w:rPr>
      </w:pPr>
      <w:r w:rsidRPr="0000681C">
        <w:rPr>
          <w:lang w:val="en-US"/>
        </w:rPr>
        <w:t xml:space="preserve">In terms of GDP, the largest losses are observed for Kyrgyzstan (-0.04%), Belarus (-0.03%) and Armenia (-0.02%). For Kyrgyzstan, the largest decrease is observed in the chemical industry (-7.8%). In Armenia, the decline in output is also concentrated mainly in the ferrous metals sector (-6.8%) and non-ferrous metals (-1.2%). </w:t>
      </w:r>
      <w:r w:rsidR="002F4A1B">
        <w:rPr>
          <w:lang w:val="en-US"/>
        </w:rPr>
        <w:t xml:space="preserve">In </w:t>
      </w:r>
      <w:r w:rsidRPr="0000681C">
        <w:rPr>
          <w:lang w:val="en-US"/>
        </w:rPr>
        <w:t>Belarus electric power industry</w:t>
      </w:r>
      <w:r w:rsidR="002F4A1B">
        <w:rPr>
          <w:lang w:val="en-US"/>
        </w:rPr>
        <w:t xml:space="preserve">, </w:t>
      </w:r>
      <w:r w:rsidRPr="0000681C">
        <w:rPr>
          <w:lang w:val="en-US"/>
        </w:rPr>
        <w:t>ferrous metals and mineral products</w:t>
      </w:r>
      <w:r w:rsidR="002F4A1B">
        <w:rPr>
          <w:lang w:val="en-US"/>
        </w:rPr>
        <w:t xml:space="preserve"> experience decline </w:t>
      </w:r>
      <w:r w:rsidRPr="0000681C">
        <w:rPr>
          <w:lang w:val="en-US"/>
        </w:rPr>
        <w:t>in output.</w:t>
      </w:r>
    </w:p>
    <w:p w14:paraId="20039286" w14:textId="44B8EEA3" w:rsidR="0000681C" w:rsidRPr="0000681C" w:rsidRDefault="0000681C" w:rsidP="002A0506">
      <w:pPr>
        <w:spacing w:line="360" w:lineRule="auto"/>
        <w:ind w:firstLine="709"/>
        <w:jc w:val="both"/>
        <w:rPr>
          <w:rFonts w:eastAsiaTheme="minorHAnsi"/>
          <w:lang w:val="en-US" w:eastAsia="en-US"/>
        </w:rPr>
      </w:pPr>
      <w:r w:rsidRPr="0000681C">
        <w:rPr>
          <w:rFonts w:eastAsiaTheme="minorHAnsi"/>
          <w:lang w:val="en-US" w:eastAsia="en-US"/>
        </w:rPr>
        <w:lastRenderedPageBreak/>
        <w:t>For Russia and Kazakhstan, there is a smaller decrease in real GDP relative to other EAEU countries, because exports of the oil and gas industry are growing (the decrease in real GDP for both countries was less than -0.01%). The chemical industry and ferrous metals</w:t>
      </w:r>
      <w:r w:rsidR="002F4A1B">
        <w:rPr>
          <w:rFonts w:eastAsiaTheme="minorHAnsi"/>
          <w:lang w:val="en-US" w:eastAsia="en-US"/>
        </w:rPr>
        <w:t xml:space="preserve"> in Russia</w:t>
      </w:r>
      <w:r w:rsidRPr="0000681C">
        <w:rPr>
          <w:rFonts w:eastAsiaTheme="minorHAnsi"/>
          <w:lang w:val="en-US" w:eastAsia="en-US"/>
        </w:rPr>
        <w:t xml:space="preserve"> have high emission intensities, so these industries are experiencing the most decrease in output (-2.9% and -1.2%). However, </w:t>
      </w:r>
      <w:r w:rsidR="002F4A1B" w:rsidRPr="0000681C">
        <w:rPr>
          <w:rFonts w:eastAsiaTheme="minorHAnsi"/>
          <w:lang w:val="en-US" w:eastAsia="en-US"/>
        </w:rPr>
        <w:t>the non-ferrous metals</w:t>
      </w:r>
      <w:r w:rsidRPr="0000681C">
        <w:rPr>
          <w:rFonts w:eastAsiaTheme="minorHAnsi"/>
          <w:lang w:val="en-US" w:eastAsia="en-US"/>
        </w:rPr>
        <w:t xml:space="preserve"> benefited from CBAM, as it has a low</w:t>
      </w:r>
      <w:r w:rsidR="002F4A1B">
        <w:rPr>
          <w:rFonts w:eastAsiaTheme="minorHAnsi"/>
          <w:lang w:val="en-US" w:eastAsia="en-US"/>
        </w:rPr>
        <w:t>er</w:t>
      </w:r>
      <w:r w:rsidRPr="0000681C">
        <w:rPr>
          <w:rFonts w:eastAsiaTheme="minorHAnsi"/>
          <w:lang w:val="en-US" w:eastAsia="en-US"/>
        </w:rPr>
        <w:t xml:space="preserve"> emission intensity compared to other countries. In Kazakhstan, ferrous and non-ferrous metals industries experience the greatest decrease in output, equal to -2.4% and -1.4%, respectively. Kazakhstan </w:t>
      </w:r>
      <w:r w:rsidR="002F4A1B" w:rsidRPr="0000681C">
        <w:rPr>
          <w:rFonts w:eastAsiaTheme="minorHAnsi"/>
          <w:lang w:val="en-US" w:eastAsia="en-US"/>
        </w:rPr>
        <w:t>is</w:t>
      </w:r>
      <w:r w:rsidRPr="0000681C">
        <w:rPr>
          <w:rFonts w:eastAsiaTheme="minorHAnsi"/>
          <w:lang w:val="en-US" w:eastAsia="en-US"/>
        </w:rPr>
        <w:t xml:space="preserve"> characterized by high emission intensities compared to other regions; therefore, the application of carbon regulation is important for this country.</w:t>
      </w:r>
    </w:p>
    <w:p w14:paraId="4217C64A" w14:textId="0639699E" w:rsidR="0000681C" w:rsidRPr="0000681C" w:rsidRDefault="0000681C" w:rsidP="002A0506">
      <w:pPr>
        <w:spacing w:line="360" w:lineRule="auto"/>
        <w:ind w:firstLine="709"/>
        <w:jc w:val="both"/>
        <w:rPr>
          <w:color w:val="000000" w:themeColor="text1"/>
          <w:lang w:val="en-US"/>
        </w:rPr>
      </w:pPr>
      <w:r w:rsidRPr="0000681C">
        <w:rPr>
          <w:color w:val="000000" w:themeColor="text1"/>
          <w:lang w:val="en-US"/>
        </w:rPr>
        <w:t>It should be noted that GTAP industries are broader than the commodity groups specified in the EU CB</w:t>
      </w:r>
      <w:r w:rsidR="002F4A1B">
        <w:rPr>
          <w:color w:val="000000" w:themeColor="text1"/>
          <w:lang w:val="en-US"/>
        </w:rPr>
        <w:t>AM</w:t>
      </w:r>
      <w:r w:rsidRPr="0000681C">
        <w:rPr>
          <w:color w:val="000000" w:themeColor="text1"/>
          <w:lang w:val="en-US"/>
        </w:rPr>
        <w:t xml:space="preserve">, so in part these effects may be overstated. Nevertheless, the analysis </w:t>
      </w:r>
      <w:r w:rsidR="002F4A1B" w:rsidRPr="0000681C">
        <w:rPr>
          <w:color w:val="000000" w:themeColor="text1"/>
          <w:lang w:val="en-US"/>
        </w:rPr>
        <w:t>identifies</w:t>
      </w:r>
      <w:r w:rsidRPr="0000681C">
        <w:rPr>
          <w:color w:val="000000" w:themeColor="text1"/>
          <w:lang w:val="en-US"/>
        </w:rPr>
        <w:t xml:space="preserve"> </w:t>
      </w:r>
      <w:r w:rsidR="002F4A1B">
        <w:rPr>
          <w:color w:val="000000" w:themeColor="text1"/>
          <w:lang w:val="en-US"/>
        </w:rPr>
        <w:t xml:space="preserve">the </w:t>
      </w:r>
      <w:r w:rsidRPr="0000681C">
        <w:rPr>
          <w:color w:val="000000" w:themeColor="text1"/>
          <w:lang w:val="en-US"/>
        </w:rPr>
        <w:t xml:space="preserve">most </w:t>
      </w:r>
      <w:r w:rsidR="002F4A1B">
        <w:rPr>
          <w:color w:val="000000" w:themeColor="text1"/>
          <w:lang w:val="en-US"/>
        </w:rPr>
        <w:t>vulnerable</w:t>
      </w:r>
      <w:r w:rsidR="002F4A1B" w:rsidRPr="0000681C">
        <w:rPr>
          <w:color w:val="000000" w:themeColor="text1"/>
          <w:lang w:val="en-US"/>
        </w:rPr>
        <w:t xml:space="preserve"> indust</w:t>
      </w:r>
      <w:r w:rsidR="002F4A1B">
        <w:rPr>
          <w:color w:val="000000" w:themeColor="text1"/>
          <w:lang w:val="en-US"/>
        </w:rPr>
        <w:t xml:space="preserve">ries </w:t>
      </w:r>
      <w:r w:rsidRPr="0000681C">
        <w:rPr>
          <w:color w:val="000000" w:themeColor="text1"/>
          <w:lang w:val="en-US"/>
        </w:rPr>
        <w:t xml:space="preserve">to the </w:t>
      </w:r>
      <w:r w:rsidR="002F4A1B">
        <w:rPr>
          <w:color w:val="000000" w:themeColor="text1"/>
          <w:lang w:val="en-US"/>
        </w:rPr>
        <w:t xml:space="preserve">carbon </w:t>
      </w:r>
      <w:r w:rsidRPr="0000681C">
        <w:rPr>
          <w:color w:val="000000" w:themeColor="text1"/>
          <w:lang w:val="en-US"/>
        </w:rPr>
        <w:t>regulation. The output of the ferrous metals industry is decreasing in all economies of the EAEU.</w:t>
      </w:r>
    </w:p>
    <w:p w14:paraId="021B7517" w14:textId="51BF0F76" w:rsidR="002A0506" w:rsidRDefault="002A0506" w:rsidP="002A0506">
      <w:pPr>
        <w:spacing w:line="360" w:lineRule="auto"/>
        <w:ind w:firstLine="709"/>
        <w:jc w:val="both"/>
        <w:rPr>
          <w:lang w:val="en-US"/>
        </w:rPr>
      </w:pPr>
      <w:r w:rsidRPr="002A0506">
        <w:rPr>
          <w:lang w:val="en-US"/>
        </w:rPr>
        <w:t xml:space="preserve">Since CBAM is designed to compensate unequal position of </w:t>
      </w:r>
      <w:r w:rsidR="002F4A1B">
        <w:rPr>
          <w:lang w:val="en-US"/>
        </w:rPr>
        <w:t xml:space="preserve">the </w:t>
      </w:r>
      <w:r w:rsidRPr="002A0506">
        <w:rPr>
          <w:lang w:val="en-US"/>
        </w:rPr>
        <w:t>European firms under</w:t>
      </w:r>
      <w:r w:rsidR="009A2F7A">
        <w:rPr>
          <w:lang w:val="en-US"/>
        </w:rPr>
        <w:t xml:space="preserve"> inner </w:t>
      </w:r>
      <w:r w:rsidRPr="002A0506">
        <w:rPr>
          <w:lang w:val="en-US"/>
        </w:rPr>
        <w:t xml:space="preserve">carbon regulation compared to firms from other countries, after the introduction of CBAM, barriers for several energy-intensive goods increase, resulting in increased production of ferrous metals, </w:t>
      </w:r>
      <w:r w:rsidR="009A2F7A" w:rsidRPr="002A0506">
        <w:rPr>
          <w:lang w:val="en-US"/>
        </w:rPr>
        <w:t>electricity,</w:t>
      </w:r>
      <w:r w:rsidRPr="002A0506">
        <w:rPr>
          <w:lang w:val="en-US"/>
        </w:rPr>
        <w:t xml:space="preserve"> and mineral products. </w:t>
      </w:r>
      <w:r w:rsidR="009A2F7A" w:rsidRPr="002A0506">
        <w:rPr>
          <w:lang w:val="en-US"/>
        </w:rPr>
        <w:t>According to</w:t>
      </w:r>
      <w:r w:rsidRPr="002A0506">
        <w:rPr>
          <w:lang w:val="en-US"/>
        </w:rPr>
        <w:t xml:space="preserve"> t</w:t>
      </w:r>
      <w:r w:rsidR="009A2F7A">
        <w:rPr>
          <w:lang w:val="en-US"/>
        </w:rPr>
        <w:t>hese findings</w:t>
      </w:r>
      <w:r w:rsidRPr="002A0506">
        <w:rPr>
          <w:lang w:val="en-US"/>
        </w:rPr>
        <w:t xml:space="preserve">, </w:t>
      </w:r>
      <w:r w:rsidR="009A2F7A" w:rsidRPr="002A0506">
        <w:rPr>
          <w:lang w:val="en-US"/>
        </w:rPr>
        <w:t>to</w:t>
      </w:r>
      <w:r w:rsidRPr="002A0506">
        <w:rPr>
          <w:lang w:val="en-US"/>
        </w:rPr>
        <w:t xml:space="preserve"> increase production, the EU needs to increase exports of energy products, so their exports from Russia and Kazakhstan are growing. Under </w:t>
      </w:r>
      <w:r w:rsidR="009A2F7A">
        <w:rPr>
          <w:lang w:val="en-US"/>
        </w:rPr>
        <w:t>current</w:t>
      </w:r>
      <w:r w:rsidRPr="002A0506">
        <w:rPr>
          <w:lang w:val="en-US"/>
        </w:rPr>
        <w:t xml:space="preserve"> conditions of the ban on the import of gas and oil, the opportunities to increase the production of energy-intensive goods reduce</w:t>
      </w:r>
      <w:r w:rsidR="009A2F7A">
        <w:rPr>
          <w:lang w:val="en-US"/>
        </w:rPr>
        <w:t>s</w:t>
      </w:r>
      <w:r w:rsidRPr="002A0506">
        <w:rPr>
          <w:lang w:val="en-US"/>
        </w:rPr>
        <w:t>, so the positive effect of CBAM for the EU will be l</w:t>
      </w:r>
      <w:r w:rsidR="00F85B20">
        <w:rPr>
          <w:lang w:val="en-US"/>
        </w:rPr>
        <w:t>ower</w:t>
      </w:r>
      <w:r w:rsidRPr="002A0506">
        <w:rPr>
          <w:lang w:val="en-US"/>
        </w:rPr>
        <w:t>.</w:t>
      </w:r>
    </w:p>
    <w:p w14:paraId="76306BED" w14:textId="64E486CA" w:rsidR="00BB273F" w:rsidRPr="00790B85" w:rsidRDefault="002A0506" w:rsidP="002A0506">
      <w:pPr>
        <w:spacing w:line="360" w:lineRule="auto"/>
        <w:ind w:firstLine="709"/>
        <w:jc w:val="both"/>
        <w:rPr>
          <w:color w:val="000000" w:themeColor="text1"/>
          <w:lang w:val="en-US"/>
        </w:rPr>
      </w:pPr>
      <w:r w:rsidRPr="002A0506">
        <w:rPr>
          <w:color w:val="000000" w:themeColor="text1"/>
          <w:lang w:val="en-US"/>
        </w:rPr>
        <w:t>The electricity industry has the highest levels of intensity in terms of emissions for most countries. The paper</w:t>
      </w:r>
      <w:r>
        <w:rPr>
          <w:rStyle w:val="a5"/>
        </w:rPr>
        <w:footnoteReference w:id="3"/>
      </w:r>
      <w:r w:rsidRPr="002A0506">
        <w:rPr>
          <w:color w:val="000000" w:themeColor="text1"/>
          <w:lang w:val="en-US"/>
        </w:rPr>
        <w:t xml:space="preserve"> notes that the effect on Russia's GDP from the introduction of C</w:t>
      </w:r>
      <w:r w:rsidR="00790B85">
        <w:rPr>
          <w:color w:val="000000" w:themeColor="text1"/>
          <w:lang w:val="en-US"/>
        </w:rPr>
        <w:t>BAM</w:t>
      </w:r>
      <w:r w:rsidRPr="002A0506">
        <w:rPr>
          <w:color w:val="000000" w:themeColor="text1"/>
          <w:lang w:val="en-US"/>
        </w:rPr>
        <w:t xml:space="preserve"> for direct emissions was -0.2% and</w:t>
      </w:r>
      <w:r w:rsidR="00790B85">
        <w:rPr>
          <w:color w:val="000000" w:themeColor="text1"/>
          <w:lang w:val="en-US"/>
        </w:rPr>
        <w:t xml:space="preserve"> for the case</w:t>
      </w:r>
      <w:r w:rsidRPr="002A0506">
        <w:rPr>
          <w:color w:val="000000" w:themeColor="text1"/>
          <w:lang w:val="en-US"/>
        </w:rPr>
        <w:t xml:space="preserve"> </w:t>
      </w:r>
      <w:r w:rsidR="00790B85">
        <w:rPr>
          <w:color w:val="000000" w:themeColor="text1"/>
          <w:lang w:val="en-US"/>
        </w:rPr>
        <w:t xml:space="preserve">of </w:t>
      </w:r>
      <w:r w:rsidR="0000681C" w:rsidRPr="002A0506">
        <w:rPr>
          <w:color w:val="000000" w:themeColor="text1"/>
          <w:lang w:val="en-US"/>
        </w:rPr>
        <w:t>considering</w:t>
      </w:r>
      <w:r w:rsidRPr="002A0506">
        <w:rPr>
          <w:color w:val="000000" w:themeColor="text1"/>
          <w:lang w:val="en-US"/>
        </w:rPr>
        <w:t xml:space="preserve"> all indirect emissions from intermediate goods -0.6% of GDP. Therefore, the transition to alternative energy sources is important for Russia. In the current situation, the possibilities of </w:t>
      </w:r>
      <w:r w:rsidR="00790B85">
        <w:rPr>
          <w:color w:val="000000" w:themeColor="text1"/>
          <w:lang w:val="en-US"/>
        </w:rPr>
        <w:t xml:space="preserve">energy </w:t>
      </w:r>
      <w:r w:rsidRPr="002A0506">
        <w:rPr>
          <w:color w:val="000000" w:themeColor="text1"/>
          <w:lang w:val="en-US"/>
        </w:rPr>
        <w:t xml:space="preserve">transition are reduced by EU sanctions on the supply of technologies and investments. Currently, Russia </w:t>
      </w:r>
      <w:r w:rsidR="00790B85">
        <w:rPr>
          <w:color w:val="000000" w:themeColor="text1"/>
          <w:lang w:val="en-US"/>
        </w:rPr>
        <w:t>advocates</w:t>
      </w:r>
      <w:r w:rsidRPr="002A0506">
        <w:rPr>
          <w:color w:val="000000" w:themeColor="text1"/>
          <w:lang w:val="en-US"/>
        </w:rPr>
        <w:t xml:space="preserve"> sanction</w:t>
      </w:r>
      <w:r w:rsidR="00790B85">
        <w:rPr>
          <w:color w:val="000000" w:themeColor="text1"/>
          <w:lang w:val="en-US"/>
        </w:rPr>
        <w:t>s elimination</w:t>
      </w:r>
      <w:r w:rsidRPr="002A0506">
        <w:rPr>
          <w:color w:val="000000" w:themeColor="text1"/>
          <w:lang w:val="en-US"/>
        </w:rPr>
        <w:t xml:space="preserve"> </w:t>
      </w:r>
      <w:r w:rsidR="00790B85">
        <w:rPr>
          <w:color w:val="000000" w:themeColor="text1"/>
          <w:lang w:val="en-US"/>
        </w:rPr>
        <w:t xml:space="preserve">on </w:t>
      </w:r>
      <w:r w:rsidRPr="002A0506">
        <w:rPr>
          <w:color w:val="000000" w:themeColor="text1"/>
          <w:lang w:val="en-US"/>
        </w:rPr>
        <w:t>low-carbon technologies</w:t>
      </w:r>
      <w:r w:rsidR="00BB273F">
        <w:rPr>
          <w:rStyle w:val="a5"/>
        </w:rPr>
        <w:footnoteReference w:id="4"/>
      </w:r>
      <w:r w:rsidR="00BB273F" w:rsidRPr="002A0506">
        <w:rPr>
          <w:lang w:val="en-US"/>
        </w:rPr>
        <w:t xml:space="preserve">. </w:t>
      </w:r>
    </w:p>
    <w:p w14:paraId="3C13F871" w14:textId="3793533F" w:rsidR="002A0506" w:rsidRPr="002A0506" w:rsidRDefault="002A0506" w:rsidP="00BB273F">
      <w:pPr>
        <w:spacing w:line="360" w:lineRule="auto"/>
        <w:ind w:firstLine="709"/>
        <w:jc w:val="both"/>
        <w:rPr>
          <w:lang w:val="en-US"/>
        </w:rPr>
      </w:pPr>
      <w:r w:rsidRPr="002A0506">
        <w:rPr>
          <w:lang w:val="en-US"/>
        </w:rPr>
        <w:t xml:space="preserve">The introduction of </w:t>
      </w:r>
      <w:r w:rsidR="00790B85" w:rsidRPr="002A0506">
        <w:rPr>
          <w:lang w:val="en-US"/>
        </w:rPr>
        <w:t>an</w:t>
      </w:r>
      <w:r w:rsidRPr="002A0506">
        <w:rPr>
          <w:lang w:val="en-US"/>
        </w:rPr>
        <w:t xml:space="preserve"> </w:t>
      </w:r>
      <w:r w:rsidR="00790B85">
        <w:rPr>
          <w:lang w:val="en-US"/>
        </w:rPr>
        <w:t>emission</w:t>
      </w:r>
      <w:r w:rsidRPr="002A0506">
        <w:rPr>
          <w:lang w:val="en-US"/>
        </w:rPr>
        <w:t xml:space="preserve"> trading system (</w:t>
      </w:r>
      <w:r w:rsidR="00790B85">
        <w:rPr>
          <w:lang w:val="en-US"/>
        </w:rPr>
        <w:t>E</w:t>
      </w:r>
      <w:r w:rsidRPr="002A0506">
        <w:rPr>
          <w:lang w:val="en-US"/>
        </w:rPr>
        <w:t xml:space="preserve">TS) is also a possible measure in the long term. Therefore, </w:t>
      </w:r>
      <w:r w:rsidR="004A0B67">
        <w:rPr>
          <w:lang w:val="en-US"/>
        </w:rPr>
        <w:t xml:space="preserve">as </w:t>
      </w:r>
      <w:r w:rsidRPr="002A0506">
        <w:rPr>
          <w:lang w:val="en-US"/>
        </w:rPr>
        <w:t>the next step</w:t>
      </w:r>
      <w:r w:rsidR="004A0B67">
        <w:rPr>
          <w:lang w:val="en-US"/>
        </w:rPr>
        <w:t xml:space="preserve"> we plan</w:t>
      </w:r>
      <w:r w:rsidRPr="002A0506">
        <w:rPr>
          <w:lang w:val="en-US"/>
        </w:rPr>
        <w:t xml:space="preserve"> to model the </w:t>
      </w:r>
      <w:r w:rsidR="00790B85">
        <w:rPr>
          <w:lang w:val="en-US"/>
        </w:rPr>
        <w:t>E</w:t>
      </w:r>
      <w:r w:rsidRPr="002A0506">
        <w:rPr>
          <w:lang w:val="en-US"/>
        </w:rPr>
        <w:t xml:space="preserve">TS using the GTAP-E-POWER model, which allows to consider the transition to renewable energy sources. In Russia, a pilot project on Sakhalin on </w:t>
      </w:r>
      <w:r w:rsidR="00790B85">
        <w:rPr>
          <w:lang w:val="en-US"/>
        </w:rPr>
        <w:t>emission</w:t>
      </w:r>
      <w:r w:rsidRPr="002A0506">
        <w:rPr>
          <w:lang w:val="en-US"/>
        </w:rPr>
        <w:t xml:space="preserve"> trading is planned</w:t>
      </w:r>
      <w:r>
        <w:rPr>
          <w:rStyle w:val="a5"/>
        </w:rPr>
        <w:footnoteReference w:id="5"/>
      </w:r>
      <w:r w:rsidRPr="002A0506">
        <w:rPr>
          <w:lang w:val="en-US"/>
        </w:rPr>
        <w:t xml:space="preserve">. </w:t>
      </w:r>
      <w:r w:rsidR="00790B85">
        <w:rPr>
          <w:lang w:val="en-US"/>
        </w:rPr>
        <w:t xml:space="preserve">ETS </w:t>
      </w:r>
      <w:r w:rsidRPr="002A0506">
        <w:rPr>
          <w:lang w:val="en-US"/>
        </w:rPr>
        <w:t>mechanism</w:t>
      </w:r>
      <w:r w:rsidR="00790B85">
        <w:rPr>
          <w:lang w:val="en-US"/>
        </w:rPr>
        <w:t xml:space="preserve"> was introduced </w:t>
      </w:r>
      <w:r w:rsidRPr="002A0506">
        <w:rPr>
          <w:lang w:val="en-US"/>
        </w:rPr>
        <w:t xml:space="preserve">in Kazakhstan since </w:t>
      </w:r>
      <w:r w:rsidRPr="002A0506">
        <w:rPr>
          <w:lang w:val="en-US"/>
        </w:rPr>
        <w:lastRenderedPageBreak/>
        <w:t xml:space="preserve">2014. </w:t>
      </w:r>
      <w:r w:rsidR="00790B85">
        <w:rPr>
          <w:lang w:val="en-US"/>
        </w:rPr>
        <w:t>This</w:t>
      </w:r>
      <w:r w:rsidRPr="002A0506">
        <w:rPr>
          <w:lang w:val="en-US"/>
        </w:rPr>
        <w:t xml:space="preserve"> experience is useful for the implementation of carbon policy in the EAEU. However, it is important to develop cooperation with other countries that </w:t>
      </w:r>
      <w:r w:rsidR="00790B85">
        <w:rPr>
          <w:lang w:val="en-US"/>
        </w:rPr>
        <w:t>work on</w:t>
      </w:r>
      <w:r w:rsidRPr="002A0506">
        <w:rPr>
          <w:lang w:val="en-US"/>
        </w:rPr>
        <w:t xml:space="preserve"> carbon regulation</w:t>
      </w:r>
      <w:r w:rsidRPr="00BB273F">
        <w:rPr>
          <w:rStyle w:val="a5"/>
        </w:rPr>
        <w:footnoteReference w:id="6"/>
      </w:r>
      <w:r w:rsidRPr="002A0506">
        <w:rPr>
          <w:lang w:val="en-US"/>
        </w:rPr>
        <w:t xml:space="preserve">. For example, China introduced </w:t>
      </w:r>
      <w:r w:rsidR="002B735F" w:rsidRPr="002A0506">
        <w:rPr>
          <w:lang w:val="en-US"/>
        </w:rPr>
        <w:t>an</w:t>
      </w:r>
      <w:r w:rsidRPr="002A0506">
        <w:rPr>
          <w:lang w:val="en-US"/>
        </w:rPr>
        <w:t xml:space="preserve"> </w:t>
      </w:r>
      <w:r w:rsidR="00790B85">
        <w:rPr>
          <w:lang w:val="en-US"/>
        </w:rPr>
        <w:t>emission</w:t>
      </w:r>
      <w:r w:rsidRPr="002A0506">
        <w:rPr>
          <w:lang w:val="en-US"/>
        </w:rPr>
        <w:t xml:space="preserve"> trading system in 2021. Thus, despite the current uncertainty, it is important for Russia in the long term to develop measures to reduce emissions and cooperate with other countries to achieve the goals of the Paris Agreement.</w:t>
      </w:r>
    </w:p>
    <w:p w14:paraId="599B3913" w14:textId="26E948A8" w:rsidR="00835126" w:rsidRPr="002F4A1B" w:rsidRDefault="00835126" w:rsidP="001B3864">
      <w:pPr>
        <w:spacing w:line="360" w:lineRule="auto"/>
        <w:ind w:firstLine="709"/>
        <w:jc w:val="both"/>
        <w:rPr>
          <w:lang w:val="en-US"/>
        </w:rPr>
      </w:pPr>
    </w:p>
    <w:sectPr w:rsidR="00835126" w:rsidRPr="002F4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4935" w14:textId="77777777" w:rsidR="003B0A2F" w:rsidRDefault="003B0A2F" w:rsidP="005E36AC">
      <w:r>
        <w:separator/>
      </w:r>
    </w:p>
  </w:endnote>
  <w:endnote w:type="continuationSeparator" w:id="0">
    <w:p w14:paraId="2E71F5A0" w14:textId="77777777" w:rsidR="003B0A2F" w:rsidRDefault="003B0A2F" w:rsidP="005E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D017" w14:textId="77777777" w:rsidR="003B0A2F" w:rsidRDefault="003B0A2F" w:rsidP="005E36AC">
      <w:r>
        <w:separator/>
      </w:r>
    </w:p>
  </w:footnote>
  <w:footnote w:type="continuationSeparator" w:id="0">
    <w:p w14:paraId="0F4FF13C" w14:textId="77777777" w:rsidR="003B0A2F" w:rsidRDefault="003B0A2F" w:rsidP="005E36AC">
      <w:r>
        <w:continuationSeparator/>
      </w:r>
    </w:p>
  </w:footnote>
  <w:footnote w:id="1">
    <w:p w14:paraId="7044D9C0" w14:textId="77777777" w:rsidR="0000681C" w:rsidRPr="001B3864" w:rsidRDefault="0000681C" w:rsidP="0000681C">
      <w:pPr>
        <w:pStyle w:val="a3"/>
        <w:rPr>
          <w:lang w:val="en-US"/>
        </w:rPr>
      </w:pPr>
      <w:r>
        <w:rPr>
          <w:rStyle w:val="a5"/>
        </w:rPr>
        <w:footnoteRef/>
      </w:r>
      <w:r w:rsidRPr="001B3864">
        <w:rPr>
          <w:lang w:val="en-US"/>
        </w:rPr>
        <w:t xml:space="preserve"> McDougall, R., &amp; Golub, A. (2009). </w:t>
      </w:r>
      <w:r w:rsidRPr="001B3864">
        <w:rPr>
          <w:i/>
          <w:iCs/>
          <w:lang w:val="en-US"/>
        </w:rPr>
        <w:t>GTAP-E: A Revised Energy-Environmental Version of the GTAP Model</w:t>
      </w:r>
      <w:r w:rsidRPr="001B3864">
        <w:rPr>
          <w:lang w:val="en-US"/>
        </w:rPr>
        <w:t xml:space="preserve"> (GTAP Research Memorandum No. 15). Purdue University, IN: Global Trade Analysis Project (GTAP). </w:t>
      </w:r>
    </w:p>
    <w:p w14:paraId="1C629842" w14:textId="77777777" w:rsidR="0000681C" w:rsidRPr="001B3864" w:rsidRDefault="0000681C" w:rsidP="0000681C">
      <w:pPr>
        <w:pStyle w:val="a3"/>
        <w:rPr>
          <w:lang w:val="en-US"/>
        </w:rPr>
      </w:pPr>
    </w:p>
  </w:footnote>
  <w:footnote w:id="2">
    <w:p w14:paraId="63382D47" w14:textId="77777777" w:rsidR="0000681C" w:rsidRPr="00E14BA4" w:rsidRDefault="0000681C" w:rsidP="0000681C">
      <w:pPr>
        <w:pStyle w:val="a3"/>
      </w:pPr>
      <w:r>
        <w:rPr>
          <w:rStyle w:val="a5"/>
        </w:rPr>
        <w:footnoteRef/>
      </w:r>
      <w:r w:rsidRPr="00E14BA4">
        <w:rPr>
          <w:lang w:val="en-US"/>
        </w:rPr>
        <w:t xml:space="preserve">  </w:t>
      </w:r>
    </w:p>
    <w:p w14:paraId="7D2DF905" w14:textId="77777777" w:rsidR="0000681C" w:rsidRDefault="0000681C" w:rsidP="0000681C">
      <w:pPr>
        <w:pStyle w:val="a3"/>
        <w:numPr>
          <w:ilvl w:val="0"/>
          <w:numId w:val="3"/>
        </w:numPr>
        <w:rPr>
          <w:lang w:val="en-US"/>
        </w:rPr>
      </w:pPr>
      <w:r>
        <w:rPr>
          <w:lang w:val="en-US"/>
        </w:rPr>
        <w:t xml:space="preserve">J. He and S. Li, "The impact of EU’s Carbon Border Adjustment Mechanism on Chinas economy (the 25th Annual Conference on Global Economic Analysis).," in </w:t>
      </w:r>
      <w:r>
        <w:rPr>
          <w:i/>
          <w:iCs/>
          <w:lang w:val="en-US"/>
        </w:rPr>
        <w:t>Global Trade Analysis Project</w:t>
      </w:r>
      <w:r>
        <w:rPr>
          <w:lang w:val="en-US"/>
        </w:rPr>
        <w:t>, Purdue University,</w:t>
      </w:r>
      <w:r w:rsidRPr="00BF1C4A">
        <w:rPr>
          <w:lang w:val="en-US"/>
        </w:rPr>
        <w:t xml:space="preserve"> </w:t>
      </w:r>
      <w:r>
        <w:rPr>
          <w:lang w:val="en-US"/>
        </w:rPr>
        <w:t>2022</w:t>
      </w:r>
      <w:proofErr w:type="gramStart"/>
      <w:r>
        <w:rPr>
          <w:lang w:val="en-US"/>
        </w:rPr>
        <w:t>.</w:t>
      </w:r>
      <w:r w:rsidRPr="00E14BA4">
        <w:rPr>
          <w:lang w:val="en-US"/>
        </w:rPr>
        <w:t>;</w:t>
      </w:r>
      <w:proofErr w:type="gramEnd"/>
    </w:p>
    <w:p w14:paraId="67B73B29" w14:textId="77777777" w:rsidR="0000681C" w:rsidRPr="00BF1C4A" w:rsidRDefault="0000681C" w:rsidP="0000681C">
      <w:pPr>
        <w:pStyle w:val="a3"/>
        <w:numPr>
          <w:ilvl w:val="0"/>
          <w:numId w:val="3"/>
        </w:numPr>
        <w:rPr>
          <w:lang w:val="en-US"/>
        </w:rPr>
      </w:pPr>
      <w:r w:rsidRPr="00E14BA4">
        <w:rPr>
          <w:lang w:val="en-US"/>
        </w:rPr>
        <w:t xml:space="preserve">Durant, "A European Union Carbon Border Adjustment Mechanism: Implications for developing countries," in </w:t>
      </w:r>
      <w:r w:rsidRPr="00E14BA4">
        <w:rPr>
          <w:i/>
          <w:iCs/>
          <w:lang w:val="en-US"/>
        </w:rPr>
        <w:t>UNCTAD</w:t>
      </w:r>
      <w:r w:rsidRPr="00E14BA4">
        <w:rPr>
          <w:lang w:val="en-US"/>
        </w:rPr>
        <w:t>, 2021</w:t>
      </w:r>
      <w:proofErr w:type="gramStart"/>
      <w:r w:rsidRPr="00E14BA4">
        <w:rPr>
          <w:lang w:val="en-US"/>
        </w:rPr>
        <w:t>.;</w:t>
      </w:r>
      <w:proofErr w:type="gramEnd"/>
    </w:p>
  </w:footnote>
  <w:footnote w:id="3">
    <w:p w14:paraId="78A24F77" w14:textId="77777777" w:rsidR="002A0506" w:rsidRPr="001B3864" w:rsidRDefault="002A0506" w:rsidP="002A0506">
      <w:pPr>
        <w:pStyle w:val="a3"/>
        <w:rPr>
          <w:lang w:val="en-US"/>
        </w:rPr>
      </w:pPr>
      <w:r>
        <w:rPr>
          <w:rStyle w:val="a5"/>
        </w:rPr>
        <w:footnoteRef/>
      </w:r>
      <w:r w:rsidRPr="001B3864">
        <w:rPr>
          <w:lang w:val="en-US"/>
        </w:rPr>
        <w:t xml:space="preserve"> </w:t>
      </w:r>
      <w:r>
        <w:rPr>
          <w:noProof/>
          <w:lang w:val="en-US"/>
        </w:rPr>
        <w:t xml:space="preserve">H. Xiaobei, Z. Fan and M. Jun, "The Global Impact of a Carbon Border Adjustment Mechanism: A Quantitative Assessment," in </w:t>
      </w:r>
      <w:r>
        <w:rPr>
          <w:i/>
          <w:iCs/>
          <w:noProof/>
          <w:lang w:val="en-US"/>
        </w:rPr>
        <w:t>Task Force on Climate, Development and the IMF</w:t>
      </w:r>
      <w:r>
        <w:rPr>
          <w:noProof/>
          <w:lang w:val="en-US"/>
        </w:rPr>
        <w:t>, 2022.</w:t>
      </w:r>
    </w:p>
  </w:footnote>
  <w:footnote w:id="4">
    <w:p w14:paraId="72EBCF0F" w14:textId="77777777" w:rsidR="00BB273F" w:rsidRPr="001B3864" w:rsidRDefault="00BB273F" w:rsidP="00BB273F">
      <w:pPr>
        <w:pStyle w:val="a3"/>
        <w:rPr>
          <w:lang w:val="en-US"/>
        </w:rPr>
      </w:pPr>
      <w:r>
        <w:rPr>
          <w:rStyle w:val="a5"/>
        </w:rPr>
        <w:footnoteRef/>
      </w:r>
      <w:r w:rsidRPr="001B3864">
        <w:rPr>
          <w:lang w:val="en-US"/>
        </w:rPr>
        <w:t xml:space="preserve"> https://www.interfax.ru/world/870368</w:t>
      </w:r>
    </w:p>
  </w:footnote>
  <w:footnote w:id="5">
    <w:p w14:paraId="394FB15A" w14:textId="77777777" w:rsidR="002A0506" w:rsidRPr="002A0506" w:rsidRDefault="002A0506" w:rsidP="002A0506">
      <w:pPr>
        <w:pStyle w:val="a3"/>
        <w:rPr>
          <w:lang w:val="en-US"/>
        </w:rPr>
      </w:pPr>
      <w:r>
        <w:rPr>
          <w:rStyle w:val="a5"/>
        </w:rPr>
        <w:footnoteRef/>
      </w:r>
      <w:r w:rsidRPr="002A0506">
        <w:rPr>
          <w:lang w:val="en-US"/>
        </w:rPr>
        <w:t xml:space="preserve"> http://www.consultant.ru/law/hotdocs/76787.html/</w:t>
      </w:r>
    </w:p>
  </w:footnote>
  <w:footnote w:id="6">
    <w:p w14:paraId="5F965FE2" w14:textId="77777777" w:rsidR="002A0506" w:rsidRPr="002A0506" w:rsidRDefault="002A0506" w:rsidP="002A0506">
      <w:pPr>
        <w:pStyle w:val="a3"/>
        <w:rPr>
          <w:lang w:val="en-US"/>
        </w:rPr>
      </w:pPr>
      <w:r>
        <w:rPr>
          <w:rStyle w:val="a5"/>
        </w:rPr>
        <w:footnoteRef/>
      </w:r>
      <w:r w:rsidRPr="002A0506">
        <w:rPr>
          <w:lang w:val="en-US"/>
        </w:rPr>
        <w:t xml:space="preserve"> https://www.rbc.ru/economics/15/07/2022/62d001cf9a7947fed6e2dc0e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0388"/>
    <w:multiLevelType w:val="hybridMultilevel"/>
    <w:tmpl w:val="48E27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2A324C"/>
    <w:multiLevelType w:val="hybridMultilevel"/>
    <w:tmpl w:val="565A4220"/>
    <w:lvl w:ilvl="0" w:tplc="56D8F62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9DA6052"/>
    <w:multiLevelType w:val="hybridMultilevel"/>
    <w:tmpl w:val="CE7E6BF6"/>
    <w:lvl w:ilvl="0" w:tplc="28EA02DE">
      <w:start w:val="1"/>
      <w:numFmt w:val="bullet"/>
      <w:lvlText w:val="•"/>
      <w:lvlJc w:val="left"/>
      <w:pPr>
        <w:tabs>
          <w:tab w:val="num" w:pos="720"/>
        </w:tabs>
        <w:ind w:left="720" w:hanging="360"/>
      </w:pPr>
      <w:rPr>
        <w:rFonts w:ascii="Arial" w:hAnsi="Arial" w:hint="default"/>
      </w:rPr>
    </w:lvl>
    <w:lvl w:ilvl="1" w:tplc="46F2039A" w:tentative="1">
      <w:start w:val="1"/>
      <w:numFmt w:val="bullet"/>
      <w:lvlText w:val="•"/>
      <w:lvlJc w:val="left"/>
      <w:pPr>
        <w:tabs>
          <w:tab w:val="num" w:pos="1440"/>
        </w:tabs>
        <w:ind w:left="1440" w:hanging="360"/>
      </w:pPr>
      <w:rPr>
        <w:rFonts w:ascii="Arial" w:hAnsi="Arial" w:hint="default"/>
      </w:rPr>
    </w:lvl>
    <w:lvl w:ilvl="2" w:tplc="6C7E7CFA" w:tentative="1">
      <w:start w:val="1"/>
      <w:numFmt w:val="bullet"/>
      <w:lvlText w:val="•"/>
      <w:lvlJc w:val="left"/>
      <w:pPr>
        <w:tabs>
          <w:tab w:val="num" w:pos="2160"/>
        </w:tabs>
        <w:ind w:left="2160" w:hanging="360"/>
      </w:pPr>
      <w:rPr>
        <w:rFonts w:ascii="Arial" w:hAnsi="Arial" w:hint="default"/>
      </w:rPr>
    </w:lvl>
    <w:lvl w:ilvl="3" w:tplc="127ED4CA" w:tentative="1">
      <w:start w:val="1"/>
      <w:numFmt w:val="bullet"/>
      <w:lvlText w:val="•"/>
      <w:lvlJc w:val="left"/>
      <w:pPr>
        <w:tabs>
          <w:tab w:val="num" w:pos="2880"/>
        </w:tabs>
        <w:ind w:left="2880" w:hanging="360"/>
      </w:pPr>
      <w:rPr>
        <w:rFonts w:ascii="Arial" w:hAnsi="Arial" w:hint="default"/>
      </w:rPr>
    </w:lvl>
    <w:lvl w:ilvl="4" w:tplc="ED4615EA" w:tentative="1">
      <w:start w:val="1"/>
      <w:numFmt w:val="bullet"/>
      <w:lvlText w:val="•"/>
      <w:lvlJc w:val="left"/>
      <w:pPr>
        <w:tabs>
          <w:tab w:val="num" w:pos="3600"/>
        </w:tabs>
        <w:ind w:left="3600" w:hanging="360"/>
      </w:pPr>
      <w:rPr>
        <w:rFonts w:ascii="Arial" w:hAnsi="Arial" w:hint="default"/>
      </w:rPr>
    </w:lvl>
    <w:lvl w:ilvl="5" w:tplc="2578E2A2" w:tentative="1">
      <w:start w:val="1"/>
      <w:numFmt w:val="bullet"/>
      <w:lvlText w:val="•"/>
      <w:lvlJc w:val="left"/>
      <w:pPr>
        <w:tabs>
          <w:tab w:val="num" w:pos="4320"/>
        </w:tabs>
        <w:ind w:left="4320" w:hanging="360"/>
      </w:pPr>
      <w:rPr>
        <w:rFonts w:ascii="Arial" w:hAnsi="Arial" w:hint="default"/>
      </w:rPr>
    </w:lvl>
    <w:lvl w:ilvl="6" w:tplc="F3908CD6" w:tentative="1">
      <w:start w:val="1"/>
      <w:numFmt w:val="bullet"/>
      <w:lvlText w:val="•"/>
      <w:lvlJc w:val="left"/>
      <w:pPr>
        <w:tabs>
          <w:tab w:val="num" w:pos="5040"/>
        </w:tabs>
        <w:ind w:left="5040" w:hanging="360"/>
      </w:pPr>
      <w:rPr>
        <w:rFonts w:ascii="Arial" w:hAnsi="Arial" w:hint="default"/>
      </w:rPr>
    </w:lvl>
    <w:lvl w:ilvl="7" w:tplc="54CEBE58" w:tentative="1">
      <w:start w:val="1"/>
      <w:numFmt w:val="bullet"/>
      <w:lvlText w:val="•"/>
      <w:lvlJc w:val="left"/>
      <w:pPr>
        <w:tabs>
          <w:tab w:val="num" w:pos="5760"/>
        </w:tabs>
        <w:ind w:left="5760" w:hanging="360"/>
      </w:pPr>
      <w:rPr>
        <w:rFonts w:ascii="Arial" w:hAnsi="Arial" w:hint="default"/>
      </w:rPr>
    </w:lvl>
    <w:lvl w:ilvl="8" w:tplc="EF260598" w:tentative="1">
      <w:start w:val="1"/>
      <w:numFmt w:val="bullet"/>
      <w:lvlText w:val="•"/>
      <w:lvlJc w:val="left"/>
      <w:pPr>
        <w:tabs>
          <w:tab w:val="num" w:pos="6480"/>
        </w:tabs>
        <w:ind w:left="6480" w:hanging="360"/>
      </w:pPr>
      <w:rPr>
        <w:rFonts w:ascii="Arial" w:hAnsi="Arial" w:hint="default"/>
      </w:rPr>
    </w:lvl>
  </w:abstractNum>
  <w:num w:numId="1" w16cid:durableId="2039354373">
    <w:abstractNumId w:val="2"/>
  </w:num>
  <w:num w:numId="2" w16cid:durableId="354843126">
    <w:abstractNumId w:val="1"/>
  </w:num>
  <w:num w:numId="3" w16cid:durableId="475148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26"/>
    <w:rsid w:val="0000681C"/>
    <w:rsid w:val="000E4E33"/>
    <w:rsid w:val="00124E26"/>
    <w:rsid w:val="00177CE5"/>
    <w:rsid w:val="001B3864"/>
    <w:rsid w:val="001F07E6"/>
    <w:rsid w:val="0020133A"/>
    <w:rsid w:val="002A0506"/>
    <w:rsid w:val="002B735F"/>
    <w:rsid w:val="002C5B3E"/>
    <w:rsid w:val="002F4A1B"/>
    <w:rsid w:val="00386610"/>
    <w:rsid w:val="003B0A2F"/>
    <w:rsid w:val="003C16DF"/>
    <w:rsid w:val="003C3BB6"/>
    <w:rsid w:val="004A0B67"/>
    <w:rsid w:val="00506171"/>
    <w:rsid w:val="00532771"/>
    <w:rsid w:val="005E36AC"/>
    <w:rsid w:val="006026EA"/>
    <w:rsid w:val="00646CD8"/>
    <w:rsid w:val="00704B79"/>
    <w:rsid w:val="00790B85"/>
    <w:rsid w:val="007A12BD"/>
    <w:rsid w:val="007D4CF4"/>
    <w:rsid w:val="007F259B"/>
    <w:rsid w:val="00835126"/>
    <w:rsid w:val="008F48ED"/>
    <w:rsid w:val="009A2F7A"/>
    <w:rsid w:val="009C25A6"/>
    <w:rsid w:val="00A038B2"/>
    <w:rsid w:val="00A751F3"/>
    <w:rsid w:val="00B652E5"/>
    <w:rsid w:val="00BB273F"/>
    <w:rsid w:val="00BF1C4A"/>
    <w:rsid w:val="00BF7666"/>
    <w:rsid w:val="00C02698"/>
    <w:rsid w:val="00D15FE5"/>
    <w:rsid w:val="00E012F3"/>
    <w:rsid w:val="00E14BA4"/>
    <w:rsid w:val="00EC5B55"/>
    <w:rsid w:val="00EF659C"/>
    <w:rsid w:val="00F318F6"/>
    <w:rsid w:val="00F8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8759"/>
  <w15:chartTrackingRefBased/>
  <w15:docId w15:val="{6A7EFA6D-2EA3-5940-9329-1ACEE09A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126"/>
    <w:rPr>
      <w:rFonts w:ascii="Times New Roman" w:eastAsia="Times New Roman" w:hAnsi="Times New Roman" w:cs="Times New Roman"/>
      <w:lang w:eastAsia="ru-RU"/>
    </w:rPr>
  </w:style>
  <w:style w:type="paragraph" w:styleId="1">
    <w:name w:val="heading 1"/>
    <w:basedOn w:val="a"/>
    <w:next w:val="a"/>
    <w:link w:val="10"/>
    <w:uiPriority w:val="9"/>
    <w:qFormat/>
    <w:rsid w:val="00BB273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36AC"/>
    <w:rPr>
      <w:sz w:val="20"/>
      <w:szCs w:val="20"/>
    </w:rPr>
  </w:style>
  <w:style w:type="character" w:customStyle="1" w:styleId="a4">
    <w:name w:val="Текст сноски Знак"/>
    <w:basedOn w:val="a0"/>
    <w:link w:val="a3"/>
    <w:uiPriority w:val="99"/>
    <w:semiHidden/>
    <w:rsid w:val="005E36AC"/>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5E36AC"/>
    <w:rPr>
      <w:vertAlign w:val="superscript"/>
    </w:rPr>
  </w:style>
  <w:style w:type="character" w:customStyle="1" w:styleId="10">
    <w:name w:val="Заголовок 1 Знак"/>
    <w:basedOn w:val="a0"/>
    <w:link w:val="1"/>
    <w:uiPriority w:val="9"/>
    <w:rsid w:val="00BB273F"/>
    <w:rPr>
      <w:rFonts w:asciiTheme="majorHAnsi" w:eastAsiaTheme="majorEastAsia" w:hAnsiTheme="majorHAnsi" w:cstheme="majorBidi"/>
      <w:b/>
      <w:bCs/>
      <w:color w:val="2F5496" w:themeColor="accent1" w:themeShade="BF"/>
      <w:sz w:val="28"/>
      <w:szCs w:val="28"/>
      <w:lang w:eastAsia="ru-RU"/>
    </w:rPr>
  </w:style>
  <w:style w:type="paragraph" w:styleId="a6">
    <w:name w:val="Bibliography"/>
    <w:basedOn w:val="a"/>
    <w:next w:val="a"/>
    <w:uiPriority w:val="37"/>
    <w:unhideWhenUsed/>
    <w:rsid w:val="00BB273F"/>
  </w:style>
  <w:style w:type="paragraph" w:styleId="a7">
    <w:name w:val="List Paragraph"/>
    <w:basedOn w:val="a"/>
    <w:uiPriority w:val="34"/>
    <w:qFormat/>
    <w:rsid w:val="001B3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1844">
      <w:bodyDiv w:val="1"/>
      <w:marLeft w:val="0"/>
      <w:marRight w:val="0"/>
      <w:marTop w:val="0"/>
      <w:marBottom w:val="0"/>
      <w:divBdr>
        <w:top w:val="none" w:sz="0" w:space="0" w:color="auto"/>
        <w:left w:val="none" w:sz="0" w:space="0" w:color="auto"/>
        <w:bottom w:val="none" w:sz="0" w:space="0" w:color="auto"/>
        <w:right w:val="none" w:sz="0" w:space="0" w:color="auto"/>
      </w:divBdr>
      <w:divsChild>
        <w:div w:id="126627696">
          <w:marLeft w:val="360"/>
          <w:marRight w:val="0"/>
          <w:marTop w:val="200"/>
          <w:marBottom w:val="0"/>
          <w:divBdr>
            <w:top w:val="none" w:sz="0" w:space="0" w:color="auto"/>
            <w:left w:val="none" w:sz="0" w:space="0" w:color="auto"/>
            <w:bottom w:val="none" w:sz="0" w:space="0" w:color="auto"/>
            <w:right w:val="none" w:sz="0" w:space="0" w:color="auto"/>
          </w:divBdr>
        </w:div>
      </w:divsChild>
    </w:div>
    <w:div w:id="18801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HEX22</b:Tag>
    <b:SourceType>ConferenceProceedings</b:SourceType>
    <b:Guid>{6DE8A329-3A9D-8347-AF2E-00510B137C6B}</b:Guid>
    <b:LCID>en-US</b:LCID>
    <b:Author>
      <b:Author>
        <b:NameList>
          <b:Person>
            <b:Last>XIAOBEI</b:Last>
            <b:First>HE</b:First>
          </b:Person>
          <b:Person>
            <b:Last>FAN</b:Last>
            <b:First>ZHAI</b:First>
          </b:Person>
          <b:Person>
            <b:Last>JUN</b:Last>
            <b:First>MA</b:First>
          </b:Person>
        </b:NameList>
      </b:Author>
    </b:Author>
    <b:Title>The Global Impact of a Carbon Border Adjustment Mechanism A QUANTITATIVE ASSESSMENT</b:Title>
    <b:ConferenceName>Task Force on Climate, Development and the IMF</b:ConferenceName>
    <b:Year>2022</b:Year>
    <b:RefOrder>1</b:RefOrder>
  </b:Source>
  <b:Source>
    <b:Tag>Нат22</b:Tag>
    <b:SourceType>ConferenceProceedings</b:SourceType>
    <b:Guid>{55B6B63D-2E0C-394A-AEC4-44E3C47E40DE}</b:Guid>
    <b:Title>Обсуждение доклада </b:Title>
    <b:Year>2022</b:Year>
    <b:LCID>ru-RU</b:LCID>
    <b:Author>
      <b:Author>
        <b:NameList>
          <b:Person>
            <b:Last>Турдыева</b:Last>
            <b:First>Наталья</b:First>
          </b:Person>
        </b:NameList>
      </b:Author>
    </b:Author>
    <b:ConferenceName>Семинар ЦБ-РЭШ «Переход к низкоуглеродной экономике: издержки и риски для финансового сектора», https://www.cbr.ru/Content/Document/File/139064/press_3.pdf</b:ConferenceName>
    <b:RefOrder>2</b:RefOrder>
  </b:Source>
</b:Sources>
</file>

<file path=customXml/itemProps1.xml><?xml version="1.0" encoding="utf-8"?>
<ds:datastoreItem xmlns:ds="http://schemas.openxmlformats.org/officeDocument/2006/customXml" ds:itemID="{90085BA1-3A1B-FF46-BEEF-B65967BE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4865</Characters>
  <Application>Microsoft Office Word</Application>
  <DocSecurity>0</DocSecurity>
  <Lines>66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140210117500 Давыдова Алтана Юрьевна</dc:creator>
  <cp:keywords/>
  <dc:description/>
  <cp:lastModifiedBy>140210117500 Давыдова Алтана Юрьевна</cp:lastModifiedBy>
  <cp:revision>4</cp:revision>
  <dcterms:created xsi:type="dcterms:W3CDTF">2022-11-24T19:12:00Z</dcterms:created>
  <dcterms:modified xsi:type="dcterms:W3CDTF">2022-11-24T19:16:00Z</dcterms:modified>
</cp:coreProperties>
</file>