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385C" w14:textId="77777777" w:rsidR="00397966" w:rsidRDefault="00397966" w:rsidP="00397966">
      <w:pPr>
        <w:autoSpaceDE w:val="0"/>
        <w:autoSpaceDN w:val="0"/>
        <w:adjustRightInd w:val="0"/>
        <w:spacing w:line="211" w:lineRule="atLeast"/>
        <w:jc w:val="center"/>
        <w:rPr>
          <w:rFonts w:ascii="Times New Roman" w:hAnsi="Times New Roman" w:cs="Times New Roman"/>
          <w:i/>
          <w:sz w:val="28"/>
          <w:szCs w:val="28"/>
        </w:rPr>
      </w:pPr>
      <w:r>
        <w:rPr>
          <w:rFonts w:ascii="Times New Roman" w:hAnsi="Times New Roman" w:cs="Times New Roman"/>
          <w:i/>
          <w:sz w:val="28"/>
          <w:szCs w:val="28"/>
        </w:rPr>
        <w:t>Инна Сергеевна Лола</w:t>
      </w:r>
      <w:r>
        <w:rPr>
          <w:rStyle w:val="a3"/>
          <w:rFonts w:ascii="Times New Roman" w:hAnsi="Times New Roman" w:cs="Times New Roman"/>
          <w:i/>
          <w:sz w:val="28"/>
          <w:szCs w:val="28"/>
          <w:lang w:val="en-US"/>
        </w:rPr>
        <w:footnoteReference w:id="1"/>
      </w:r>
      <w:r w:rsidRPr="004B0E40">
        <w:rPr>
          <w:rFonts w:ascii="Times New Roman" w:hAnsi="Times New Roman" w:cs="Times New Roman"/>
          <w:i/>
          <w:sz w:val="28"/>
          <w:szCs w:val="28"/>
        </w:rPr>
        <w:t xml:space="preserve">, </w:t>
      </w:r>
      <w:r>
        <w:rPr>
          <w:rFonts w:ascii="Times New Roman" w:hAnsi="Times New Roman" w:cs="Times New Roman"/>
          <w:i/>
          <w:sz w:val="28"/>
          <w:szCs w:val="28"/>
        </w:rPr>
        <w:t>Мурат Булатович</w:t>
      </w:r>
      <w:r w:rsidRPr="004B0E40">
        <w:rPr>
          <w:rFonts w:ascii="Times New Roman" w:hAnsi="Times New Roman" w:cs="Times New Roman"/>
          <w:i/>
          <w:sz w:val="28"/>
          <w:szCs w:val="28"/>
        </w:rPr>
        <w:t xml:space="preserve"> Бакеев</w:t>
      </w:r>
      <w:r>
        <w:rPr>
          <w:rFonts w:ascii="Times New Roman" w:hAnsi="Times New Roman" w:cs="Times New Roman"/>
          <w:i/>
          <w:sz w:val="28"/>
          <w:szCs w:val="28"/>
        </w:rPr>
        <w:t xml:space="preserve"> (заявитель)</w:t>
      </w:r>
      <w:r>
        <w:rPr>
          <w:rStyle w:val="a3"/>
          <w:rFonts w:ascii="Times New Roman" w:hAnsi="Times New Roman" w:cs="Times New Roman"/>
          <w:i/>
          <w:sz w:val="28"/>
          <w:szCs w:val="28"/>
          <w:lang w:val="en-US"/>
        </w:rPr>
        <w:footnoteReference w:id="2"/>
      </w:r>
    </w:p>
    <w:p w14:paraId="381F16D6" w14:textId="77777777" w:rsidR="00397966" w:rsidRPr="00F10443" w:rsidRDefault="00397966" w:rsidP="00397966">
      <w:pPr>
        <w:autoSpaceDE w:val="0"/>
        <w:autoSpaceDN w:val="0"/>
        <w:adjustRightInd w:val="0"/>
        <w:spacing w:line="211" w:lineRule="atLeast"/>
        <w:jc w:val="both"/>
        <w:rPr>
          <w:rFonts w:ascii="Times New Roman" w:hAnsi="Times New Roman" w:cs="Times New Roman"/>
          <w:sz w:val="28"/>
          <w:szCs w:val="28"/>
        </w:rPr>
      </w:pPr>
      <w:r>
        <w:rPr>
          <w:rFonts w:ascii="Times New Roman" w:hAnsi="Times New Roman" w:cs="Times New Roman"/>
          <w:i/>
          <w:sz w:val="28"/>
          <w:szCs w:val="28"/>
        </w:rPr>
        <w:t>Тематическое направление:</w:t>
      </w:r>
      <w:r w:rsidRPr="004D7AB5">
        <w:t xml:space="preserve"> </w:t>
      </w:r>
      <w:r w:rsidRPr="004D7AB5">
        <w:rPr>
          <w:rFonts w:ascii="Times New Roman" w:hAnsi="Times New Roman" w:cs="Times New Roman"/>
          <w:i/>
          <w:sz w:val="28"/>
          <w:szCs w:val="28"/>
        </w:rPr>
        <w:t>Наука и инновации</w:t>
      </w:r>
      <w:r>
        <w:rPr>
          <w:rFonts w:ascii="Times New Roman" w:hAnsi="Times New Roman" w:cs="Times New Roman"/>
          <w:i/>
          <w:sz w:val="28"/>
          <w:szCs w:val="28"/>
        </w:rPr>
        <w:t>.</w:t>
      </w:r>
    </w:p>
    <w:p w14:paraId="7A74F8A2" w14:textId="0AE35314" w:rsidR="00397966" w:rsidRPr="00397966" w:rsidRDefault="00397966" w:rsidP="00397966">
      <w:pPr>
        <w:jc w:val="center"/>
        <w:rPr>
          <w:rFonts w:ascii="Times New Roman" w:hAnsi="Times New Roman" w:cs="Times New Roman"/>
          <w:b/>
          <w:sz w:val="32"/>
          <w:lang w:val="en-US"/>
        </w:rPr>
      </w:pPr>
      <w:r w:rsidRPr="00397966">
        <w:rPr>
          <w:rFonts w:ascii="Times New Roman" w:hAnsi="Times New Roman" w:cs="Times New Roman"/>
          <w:b/>
          <w:sz w:val="32"/>
          <w:lang w:val="en-US"/>
        </w:rPr>
        <w:t xml:space="preserve">Measuring technological and digital activity in the field of greening industrial enterprises in Russia: market trends of </w:t>
      </w:r>
      <w:r>
        <w:rPr>
          <w:rFonts w:ascii="Times New Roman" w:hAnsi="Times New Roman" w:cs="Times New Roman"/>
          <w:b/>
          <w:sz w:val="32"/>
          <w:lang w:val="en-US"/>
        </w:rPr>
        <w:t>“</w:t>
      </w:r>
      <w:r w:rsidRPr="00397966">
        <w:rPr>
          <w:rFonts w:ascii="Times New Roman" w:hAnsi="Times New Roman" w:cs="Times New Roman"/>
          <w:b/>
          <w:sz w:val="32"/>
          <w:lang w:val="en-US"/>
        </w:rPr>
        <w:t>green</w:t>
      </w:r>
      <w:r>
        <w:rPr>
          <w:rFonts w:ascii="Times New Roman" w:hAnsi="Times New Roman" w:cs="Times New Roman"/>
          <w:b/>
          <w:sz w:val="32"/>
          <w:lang w:val="en-US"/>
        </w:rPr>
        <w:t>”</w:t>
      </w:r>
      <w:r w:rsidRPr="00397966">
        <w:rPr>
          <w:rFonts w:ascii="Times New Roman" w:hAnsi="Times New Roman" w:cs="Times New Roman"/>
          <w:b/>
          <w:sz w:val="32"/>
          <w:lang w:val="en-US"/>
        </w:rPr>
        <w:t xml:space="preserve"> modernization</w:t>
      </w:r>
      <w:r>
        <w:rPr>
          <w:rStyle w:val="a3"/>
          <w:rFonts w:ascii="Times New Roman" w:hAnsi="Times New Roman" w:cs="Times New Roman"/>
          <w:b/>
          <w:sz w:val="32"/>
          <w:szCs w:val="32"/>
        </w:rPr>
        <w:footnoteReference w:id="3"/>
      </w:r>
    </w:p>
    <w:p w14:paraId="07B69D8F" w14:textId="5578D486" w:rsidR="00397966" w:rsidRDefault="00397966" w:rsidP="00397966">
      <w:pPr>
        <w:spacing w:line="360" w:lineRule="auto"/>
        <w:ind w:firstLine="709"/>
        <w:jc w:val="both"/>
        <w:rPr>
          <w:rFonts w:ascii="Times New Roman" w:hAnsi="Times New Roman" w:cs="Times New Roman"/>
          <w:sz w:val="28"/>
          <w:lang w:val="en-US"/>
        </w:rPr>
      </w:pPr>
      <w:r w:rsidRPr="00397966">
        <w:rPr>
          <w:rFonts w:ascii="Times New Roman" w:hAnsi="Times New Roman" w:cs="Times New Roman"/>
          <w:sz w:val="28"/>
          <w:lang w:val="en-US"/>
        </w:rPr>
        <w:t xml:space="preserve">The development and implementation of comprehensive measures for decarbonization and </w:t>
      </w:r>
      <w:r w:rsidR="00922CDD">
        <w:rPr>
          <w:rFonts w:ascii="Times New Roman" w:hAnsi="Times New Roman" w:cs="Times New Roman"/>
          <w:sz w:val="28"/>
          <w:lang w:val="en-US"/>
        </w:rPr>
        <w:t>“</w:t>
      </w:r>
      <w:r w:rsidRPr="00397966">
        <w:rPr>
          <w:rFonts w:ascii="Times New Roman" w:hAnsi="Times New Roman" w:cs="Times New Roman"/>
          <w:sz w:val="28"/>
          <w:lang w:val="en-US"/>
        </w:rPr>
        <w:t>green</w:t>
      </w:r>
      <w:r w:rsidR="00922CDD">
        <w:rPr>
          <w:rFonts w:ascii="Times New Roman" w:hAnsi="Times New Roman" w:cs="Times New Roman"/>
          <w:sz w:val="28"/>
          <w:lang w:val="en-US"/>
        </w:rPr>
        <w:t>”</w:t>
      </w:r>
      <w:r w:rsidRPr="00397966">
        <w:rPr>
          <w:rFonts w:ascii="Times New Roman" w:hAnsi="Times New Roman" w:cs="Times New Roman"/>
          <w:sz w:val="28"/>
          <w:lang w:val="en-US"/>
        </w:rPr>
        <w:t xml:space="preserve"> modernization implies the need to develop a methodology for measuring greening activity among industrial enterprises in order to track and quickly observe changes. The existing quantitative statistics toolkit in Russia does not fully reflect all aspects of technological and digital activity in the field of greening and increasing resource efficiency and requires development and adaptation to existing foreign research practices. An effective resource for expanding and supplementing the available quantitative data can be the apparatus of </w:t>
      </w:r>
      <w:r w:rsidR="00922CDD">
        <w:rPr>
          <w:rFonts w:ascii="Times New Roman" w:hAnsi="Times New Roman" w:cs="Times New Roman"/>
          <w:sz w:val="28"/>
          <w:lang w:val="en-US"/>
        </w:rPr>
        <w:t xml:space="preserve">business tendency </w:t>
      </w:r>
      <w:r w:rsidRPr="00397966">
        <w:rPr>
          <w:rFonts w:ascii="Times New Roman" w:hAnsi="Times New Roman" w:cs="Times New Roman"/>
          <w:sz w:val="28"/>
          <w:lang w:val="en-US"/>
        </w:rPr>
        <w:t>observations, containing qualitative statistics of measurements of the scale and trends of technological transformation at Russian industrial enterprises, collected within the framework of surveys harmonized and updated annually with existing world practices.</w:t>
      </w:r>
    </w:p>
    <w:p w14:paraId="177DFA3D" w14:textId="7302CBCF" w:rsidR="000E37B7" w:rsidRDefault="000E37B7" w:rsidP="00397966">
      <w:pPr>
        <w:spacing w:line="360" w:lineRule="auto"/>
        <w:ind w:firstLine="709"/>
        <w:jc w:val="both"/>
        <w:rPr>
          <w:rFonts w:ascii="Times New Roman" w:hAnsi="Times New Roman" w:cs="Times New Roman"/>
          <w:sz w:val="28"/>
          <w:lang w:val="en-US"/>
        </w:rPr>
      </w:pPr>
      <w:r w:rsidRPr="000E37B7">
        <w:rPr>
          <w:rFonts w:ascii="Times New Roman" w:hAnsi="Times New Roman" w:cs="Times New Roman"/>
          <w:sz w:val="28"/>
          <w:lang w:val="en-US"/>
        </w:rPr>
        <w:t xml:space="preserve">The purpose of the report is to present the methodological aspects of the development of </w:t>
      </w:r>
      <w:r>
        <w:rPr>
          <w:rFonts w:ascii="Times New Roman" w:hAnsi="Times New Roman" w:cs="Times New Roman"/>
          <w:sz w:val="28"/>
          <w:lang w:val="en-US"/>
        </w:rPr>
        <w:t xml:space="preserve">business tendency </w:t>
      </w:r>
      <w:r w:rsidRPr="000E37B7">
        <w:rPr>
          <w:rFonts w:ascii="Times New Roman" w:hAnsi="Times New Roman" w:cs="Times New Roman"/>
          <w:sz w:val="28"/>
          <w:lang w:val="en-US"/>
        </w:rPr>
        <w:t xml:space="preserve">monitoring in terms of measuring the technological and digital activity of industry in the field of greening manufacturing enterprises in Russia, launched at the Center for </w:t>
      </w:r>
      <w:r>
        <w:rPr>
          <w:rFonts w:ascii="Times New Roman" w:hAnsi="Times New Roman" w:cs="Times New Roman"/>
          <w:sz w:val="28"/>
          <w:lang w:val="en-US"/>
        </w:rPr>
        <w:t>Business Tendency</w:t>
      </w:r>
      <w:r w:rsidRPr="000E37B7">
        <w:rPr>
          <w:rFonts w:ascii="Times New Roman" w:hAnsi="Times New Roman" w:cs="Times New Roman"/>
          <w:sz w:val="28"/>
          <w:lang w:val="en-US"/>
        </w:rPr>
        <w:t xml:space="preserve"> </w:t>
      </w:r>
      <w:r>
        <w:rPr>
          <w:rFonts w:ascii="Times New Roman" w:hAnsi="Times New Roman" w:cs="Times New Roman"/>
          <w:sz w:val="28"/>
          <w:lang w:val="en-US"/>
        </w:rPr>
        <w:t>Studies</w:t>
      </w:r>
      <w:r w:rsidRPr="000E37B7">
        <w:rPr>
          <w:rFonts w:ascii="Times New Roman" w:hAnsi="Times New Roman" w:cs="Times New Roman"/>
          <w:sz w:val="28"/>
          <w:lang w:val="en-US"/>
        </w:rPr>
        <w:t xml:space="preserve"> of the Institute for Statistical Studies and Economics of Knowledge (C</w:t>
      </w:r>
      <w:r>
        <w:rPr>
          <w:rFonts w:ascii="Times New Roman" w:hAnsi="Times New Roman" w:cs="Times New Roman"/>
          <w:sz w:val="28"/>
          <w:lang w:val="en-US"/>
        </w:rPr>
        <w:t>BTS</w:t>
      </w:r>
      <w:r w:rsidRPr="000E37B7">
        <w:rPr>
          <w:rFonts w:ascii="Times New Roman" w:hAnsi="Times New Roman" w:cs="Times New Roman"/>
          <w:sz w:val="28"/>
          <w:lang w:val="en-US"/>
        </w:rPr>
        <w:t xml:space="preserve"> ISSEK) of the Higher School of Economics in 2018. The following tasks are being implemented in the work: analytical description of the existing statistical toolkit through the presentation of a system of indicators and indicators used, updated annually; </w:t>
      </w:r>
      <w:r w:rsidRPr="000E37B7">
        <w:rPr>
          <w:rFonts w:ascii="Times New Roman" w:hAnsi="Times New Roman" w:cs="Times New Roman"/>
          <w:sz w:val="28"/>
          <w:lang w:val="en-US"/>
        </w:rPr>
        <w:lastRenderedPageBreak/>
        <w:t>disclosing the conjugation of toolbox blocks with international templates; description of specific empirical research practice through the presentation of the results of monitoring industrial enterprises in this area for 2020.</w:t>
      </w:r>
      <w:r>
        <w:rPr>
          <w:rFonts w:ascii="Times New Roman" w:hAnsi="Times New Roman" w:cs="Times New Roman"/>
          <w:sz w:val="28"/>
          <w:lang w:val="en-US"/>
        </w:rPr>
        <w:t xml:space="preserve"> In addition,</w:t>
      </w:r>
      <w:r w:rsidRPr="000E37B7">
        <w:rPr>
          <w:rFonts w:ascii="Times New Roman" w:hAnsi="Times New Roman" w:cs="Times New Roman"/>
          <w:sz w:val="28"/>
          <w:lang w:val="en-US"/>
        </w:rPr>
        <w:t xml:space="preserve"> international research experience in measuring the processes of greening enterprises using composite indicators, which in their aggregated form are capable of sufficiently informatively reflecting key trends and the scale of the investigated phenomena</w:t>
      </w:r>
      <w:r w:rsidR="00C24E73">
        <w:rPr>
          <w:rFonts w:ascii="Times New Roman" w:hAnsi="Times New Roman" w:cs="Times New Roman"/>
          <w:sz w:val="28"/>
          <w:lang w:val="en-US"/>
        </w:rPr>
        <w:t xml:space="preserve">, </w:t>
      </w:r>
      <w:r w:rsidR="00C24E73">
        <w:rPr>
          <w:rFonts w:ascii="Times New Roman" w:hAnsi="Times New Roman" w:cs="Times New Roman"/>
          <w:sz w:val="28"/>
          <w:lang w:val="en-US"/>
        </w:rPr>
        <w:t>is analyzed</w:t>
      </w:r>
      <w:r w:rsidRPr="000E37B7">
        <w:rPr>
          <w:rFonts w:ascii="Times New Roman" w:hAnsi="Times New Roman" w:cs="Times New Roman"/>
          <w:sz w:val="28"/>
          <w:lang w:val="en-US"/>
        </w:rPr>
        <w:t>. Opportunities for adapting existing methods of constructing indicators for calculating national composite indices are presented.</w:t>
      </w:r>
    </w:p>
    <w:p w14:paraId="1CC571E8" w14:textId="79EF72CB" w:rsidR="00C24E73" w:rsidRDefault="00C24E73" w:rsidP="00C24E73">
      <w:pPr>
        <w:pBdr>
          <w:top w:val="nil"/>
          <w:left w:val="nil"/>
          <w:bottom w:val="nil"/>
          <w:right w:val="nil"/>
          <w:between w:val="nil"/>
        </w:pBdr>
        <w:spacing w:after="0" w:line="360" w:lineRule="auto"/>
        <w:ind w:firstLine="708"/>
        <w:jc w:val="both"/>
        <w:rPr>
          <w:rFonts w:ascii="Times New Roman" w:eastAsia="Calibri" w:hAnsi="Times New Roman" w:cs="Times New Roman"/>
          <w:sz w:val="28"/>
          <w:szCs w:val="24"/>
          <w:lang w:val="en-US"/>
        </w:rPr>
      </w:pPr>
      <w:r w:rsidRPr="00C24E73">
        <w:rPr>
          <w:rFonts w:ascii="Times New Roman" w:hAnsi="Times New Roman" w:cs="Times New Roman"/>
          <w:sz w:val="28"/>
          <w:lang w:val="en-US"/>
        </w:rPr>
        <w:t>The analysis was based on quantified data from annual business tendency surveys of digital activity of Russian manufacturing enterprises for 2019-2020, including a set of indicators characterizing technological and digital activity in the field of greening and increasing resource efficiency.</w:t>
      </w:r>
      <w:r>
        <w:rPr>
          <w:rFonts w:ascii="Times New Roman" w:hAnsi="Times New Roman" w:cs="Times New Roman"/>
          <w:sz w:val="28"/>
          <w:lang w:val="en-US"/>
        </w:rPr>
        <w:t xml:space="preserve"> </w:t>
      </w:r>
      <w:r w:rsidRPr="00C24E73">
        <w:rPr>
          <w:rFonts w:ascii="Times New Roman" w:hAnsi="Times New Roman" w:cs="Times New Roman"/>
          <w:sz w:val="28"/>
          <w:lang w:val="en-US"/>
        </w:rPr>
        <w:t>The results obtained indicate that despite the small scale of the current use of digital tools that contribute to the effective achievement of environmental goals and objectives in the ecological and economic production system in 2020, there was an active spread of activity in this area compared to 2019. In particular, the recorded trends were traced within the framework of measures aimed at improving energy efficiency, efficiency of water use and raw materials, as well as waste disposal. In addition, monitoring showed that respondents from most sub-sectors in 2020 expected the emerging positive trends to strengthen in the short term in all major areas of the green agenda.</w:t>
      </w:r>
      <w:r>
        <w:rPr>
          <w:rFonts w:ascii="Times New Roman" w:hAnsi="Times New Roman" w:cs="Times New Roman"/>
          <w:sz w:val="28"/>
          <w:lang w:val="en-US"/>
        </w:rPr>
        <w:t xml:space="preserve"> </w:t>
      </w:r>
      <w:r w:rsidRPr="00C52866">
        <w:rPr>
          <w:rFonts w:ascii="Times New Roman" w:eastAsia="Calibri" w:hAnsi="Times New Roman" w:cs="Times New Roman"/>
          <w:sz w:val="28"/>
          <w:szCs w:val="24"/>
          <w:lang w:val="en-US"/>
        </w:rPr>
        <w:t>Among the sectoral leaders o</w:t>
      </w:r>
      <w:r>
        <w:rPr>
          <w:rFonts w:ascii="Times New Roman" w:eastAsia="Calibri" w:hAnsi="Times New Roman" w:cs="Times New Roman"/>
          <w:sz w:val="28"/>
          <w:szCs w:val="24"/>
          <w:lang w:val="en-US"/>
        </w:rPr>
        <w:t xml:space="preserve">f greening in industry in 2020, we can name </w:t>
      </w:r>
      <w:r w:rsidRPr="00C52866">
        <w:rPr>
          <w:rFonts w:ascii="Times New Roman" w:eastAsia="Calibri" w:hAnsi="Times New Roman" w:cs="Times New Roman"/>
          <w:sz w:val="28"/>
          <w:szCs w:val="24"/>
          <w:lang w:val="en-US"/>
        </w:rPr>
        <w:t>the automotive industry, the production of machinery and equipment</w:t>
      </w:r>
      <w:r w:rsidRPr="00CD172E">
        <w:rPr>
          <w:rFonts w:ascii="Times New Roman" w:eastAsia="Calibri" w:hAnsi="Times New Roman" w:cs="Times New Roman"/>
          <w:sz w:val="28"/>
          <w:szCs w:val="24"/>
          <w:lang w:val="en-US"/>
        </w:rPr>
        <w:t xml:space="preserve"> </w:t>
      </w:r>
      <w:r>
        <w:rPr>
          <w:rFonts w:ascii="Times New Roman" w:eastAsia="Calibri" w:hAnsi="Times New Roman" w:cs="Times New Roman"/>
          <w:sz w:val="28"/>
          <w:szCs w:val="24"/>
          <w:lang w:val="en-US"/>
        </w:rPr>
        <w:t>not included in other categories</w:t>
      </w:r>
      <w:r w:rsidRPr="00C52866">
        <w:rPr>
          <w:rFonts w:ascii="Times New Roman" w:eastAsia="Calibri" w:hAnsi="Times New Roman" w:cs="Times New Roman"/>
          <w:sz w:val="28"/>
          <w:szCs w:val="24"/>
          <w:lang w:val="en-US"/>
        </w:rPr>
        <w:t>, metallurgy, the production of electrical equipment, as well as the production of coke and petroleum products.</w:t>
      </w:r>
      <w:r>
        <w:rPr>
          <w:rFonts w:ascii="Times New Roman" w:eastAsia="Calibri" w:hAnsi="Times New Roman" w:cs="Times New Roman"/>
          <w:sz w:val="28"/>
          <w:szCs w:val="24"/>
          <w:lang w:val="en-US"/>
        </w:rPr>
        <w:t xml:space="preserve"> In 2021, progress is expected</w:t>
      </w:r>
      <w:r w:rsidRPr="00C52866">
        <w:rPr>
          <w:rFonts w:ascii="Times New Roman" w:eastAsia="Calibri" w:hAnsi="Times New Roman" w:cs="Times New Roman"/>
          <w:sz w:val="28"/>
          <w:szCs w:val="24"/>
          <w:lang w:val="en-US"/>
        </w:rPr>
        <w:t xml:space="preserve"> in the </w:t>
      </w:r>
      <w:r>
        <w:rPr>
          <w:rFonts w:ascii="Times New Roman" w:eastAsia="Calibri" w:hAnsi="Times New Roman" w:cs="Times New Roman"/>
          <w:sz w:val="28"/>
          <w:szCs w:val="24"/>
          <w:lang w:val="en-US"/>
        </w:rPr>
        <w:t>pharmaceutical industry, as well as wearing apparel and furniture manufacture.</w:t>
      </w:r>
    </w:p>
    <w:p w14:paraId="7213BF9E" w14:textId="5EB7BE1C" w:rsidR="00C24E73" w:rsidRDefault="00C24E73" w:rsidP="00C24E73">
      <w:pPr>
        <w:pBdr>
          <w:top w:val="nil"/>
          <w:left w:val="nil"/>
          <w:bottom w:val="nil"/>
          <w:right w:val="nil"/>
          <w:between w:val="nil"/>
        </w:pBdr>
        <w:spacing w:after="0" w:line="360" w:lineRule="auto"/>
        <w:ind w:firstLine="708"/>
        <w:jc w:val="both"/>
        <w:rPr>
          <w:rFonts w:ascii="Times New Roman" w:eastAsia="Calibri" w:hAnsi="Times New Roman" w:cs="Times New Roman"/>
          <w:sz w:val="28"/>
          <w:szCs w:val="24"/>
          <w:lang w:val="en-US"/>
        </w:rPr>
      </w:pPr>
      <w:r w:rsidRPr="00C24E73">
        <w:rPr>
          <w:rFonts w:ascii="Times New Roman" w:eastAsia="Calibri" w:hAnsi="Times New Roman" w:cs="Times New Roman"/>
          <w:sz w:val="28"/>
          <w:szCs w:val="24"/>
          <w:lang w:val="en-US"/>
        </w:rPr>
        <w:t xml:space="preserve">The totality of the trends identified and outlined in the study indicates that for Russia, expanding the depth and coverage of statistical observations of the process of greening industries, including with the help of </w:t>
      </w:r>
      <w:proofErr w:type="gramStart"/>
      <w:r w:rsidRPr="00C24E73">
        <w:rPr>
          <w:rFonts w:ascii="Times New Roman" w:eastAsia="Calibri" w:hAnsi="Times New Roman" w:cs="Times New Roman"/>
          <w:sz w:val="28"/>
          <w:szCs w:val="24"/>
          <w:lang w:val="en-US"/>
        </w:rPr>
        <w:t>an</w:t>
      </w:r>
      <w:proofErr w:type="gramEnd"/>
      <w:r w:rsidRPr="00C24E73">
        <w:rPr>
          <w:rFonts w:ascii="Times New Roman" w:eastAsia="Calibri" w:hAnsi="Times New Roman" w:cs="Times New Roman"/>
          <w:sz w:val="28"/>
          <w:szCs w:val="24"/>
          <w:lang w:val="en-US"/>
        </w:rPr>
        <w:t xml:space="preserve"> business tendency observation apparatus, is an urgent task that requires constant improvement of methodological </w:t>
      </w:r>
      <w:r w:rsidRPr="00C24E73">
        <w:rPr>
          <w:rFonts w:ascii="Times New Roman" w:eastAsia="Calibri" w:hAnsi="Times New Roman" w:cs="Times New Roman"/>
          <w:sz w:val="28"/>
          <w:szCs w:val="24"/>
          <w:lang w:val="en-US"/>
        </w:rPr>
        <w:lastRenderedPageBreak/>
        <w:t>support in terms of the tools used and data analysis, as well as construction of new meters, including the corresponding composite indicators.</w:t>
      </w:r>
    </w:p>
    <w:p w14:paraId="0DF61B3C" w14:textId="7717BBE9" w:rsidR="00F51E21" w:rsidRPr="00C24E73" w:rsidRDefault="00C24E73" w:rsidP="00C24E73">
      <w:pPr>
        <w:spacing w:line="360" w:lineRule="auto"/>
        <w:ind w:firstLine="709"/>
        <w:jc w:val="both"/>
        <w:rPr>
          <w:rFonts w:ascii="Times New Roman" w:hAnsi="Times New Roman" w:cs="Times New Roman"/>
          <w:sz w:val="28"/>
          <w:lang w:val="en-US"/>
        </w:rPr>
      </w:pPr>
      <w:r w:rsidRPr="00896507">
        <w:rPr>
          <w:rFonts w:ascii="Times New Roman" w:hAnsi="Times New Roman" w:cs="Times New Roman"/>
          <w:sz w:val="28"/>
          <w:lang w:val="en-US"/>
        </w:rPr>
        <w:t>Given the unprecedented challenges of the ongoing pandemic crisis and the still insufficient content of operational statistical data that can, in an expanded and up-to-date context, reflect the scale of digitalization and</w:t>
      </w:r>
      <w:proofErr w:type="gramStart"/>
      <w:r w:rsidRPr="00896507">
        <w:rPr>
          <w:rFonts w:ascii="Times New Roman" w:hAnsi="Times New Roman" w:cs="Times New Roman"/>
          <w:sz w:val="28"/>
          <w:lang w:val="en-US"/>
        </w:rPr>
        <w:t>, in particular, its</w:t>
      </w:r>
      <w:proofErr w:type="gramEnd"/>
      <w:r w:rsidRPr="00896507">
        <w:rPr>
          <w:rFonts w:ascii="Times New Roman" w:hAnsi="Times New Roman" w:cs="Times New Roman"/>
          <w:sz w:val="28"/>
          <w:lang w:val="en-US"/>
        </w:rPr>
        <w:t xml:space="preserve"> impact on the greening of the industry, the results of </w:t>
      </w:r>
      <w:r>
        <w:rPr>
          <w:rFonts w:ascii="Times New Roman" w:hAnsi="Times New Roman" w:cs="Times New Roman"/>
          <w:sz w:val="28"/>
          <w:lang w:val="en-US"/>
        </w:rPr>
        <w:t xml:space="preserve">qualitative </w:t>
      </w:r>
      <w:r w:rsidRPr="00896507">
        <w:rPr>
          <w:rFonts w:ascii="Times New Roman" w:hAnsi="Times New Roman" w:cs="Times New Roman"/>
          <w:sz w:val="28"/>
          <w:lang w:val="en-US"/>
        </w:rPr>
        <w:t>business surveys, in addition to quantitative estimates, are becoming an important complementary source of information. As the European experience shows, the perception of digita</w:t>
      </w:r>
      <w:r>
        <w:rPr>
          <w:rFonts w:ascii="Times New Roman" w:hAnsi="Times New Roman" w:cs="Times New Roman"/>
          <w:sz w:val="28"/>
          <w:lang w:val="en-US"/>
        </w:rPr>
        <w:t>l and green</w:t>
      </w:r>
      <w:r w:rsidRPr="00896507">
        <w:rPr>
          <w:rFonts w:ascii="Times New Roman" w:hAnsi="Times New Roman" w:cs="Times New Roman"/>
          <w:sz w:val="28"/>
          <w:lang w:val="en-US"/>
        </w:rPr>
        <w:t xml:space="preserve"> transformation as elements of the general process has </w:t>
      </w:r>
      <w:r>
        <w:rPr>
          <w:rFonts w:ascii="Times New Roman" w:hAnsi="Times New Roman" w:cs="Times New Roman"/>
          <w:sz w:val="28"/>
          <w:lang w:val="en-US"/>
        </w:rPr>
        <w:t xml:space="preserve">a </w:t>
      </w:r>
      <w:r w:rsidRPr="00896507">
        <w:rPr>
          <w:rFonts w:ascii="Times New Roman" w:hAnsi="Times New Roman" w:cs="Times New Roman"/>
          <w:sz w:val="28"/>
          <w:lang w:val="en-US"/>
        </w:rPr>
        <w:t xml:space="preserve">chance of becoming consensus </w:t>
      </w:r>
      <w:r>
        <w:rPr>
          <w:rFonts w:ascii="Times New Roman" w:hAnsi="Times New Roman" w:cs="Times New Roman"/>
          <w:sz w:val="28"/>
          <w:lang w:val="en-US"/>
        </w:rPr>
        <w:t xml:space="preserve">one </w:t>
      </w:r>
      <w:r w:rsidRPr="00896507">
        <w:rPr>
          <w:rFonts w:ascii="Times New Roman" w:hAnsi="Times New Roman" w:cs="Times New Roman"/>
          <w:sz w:val="28"/>
          <w:lang w:val="en-US"/>
        </w:rPr>
        <w:t>in the post-pandemic era, therefore, obtaining operational information on the use of digital greening in Russia is an urgent task.</w:t>
      </w:r>
    </w:p>
    <w:sectPr w:rsidR="00F51E21" w:rsidRPr="00C24E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453D" w14:textId="77777777" w:rsidR="00F938C4" w:rsidRDefault="00F938C4" w:rsidP="00397966">
      <w:pPr>
        <w:spacing w:after="0" w:line="240" w:lineRule="auto"/>
      </w:pPr>
      <w:r>
        <w:separator/>
      </w:r>
    </w:p>
  </w:endnote>
  <w:endnote w:type="continuationSeparator" w:id="0">
    <w:p w14:paraId="3DEFFC31" w14:textId="77777777" w:rsidR="00F938C4" w:rsidRDefault="00F938C4" w:rsidP="0039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F37F" w14:textId="77777777" w:rsidR="00F938C4" w:rsidRDefault="00F938C4" w:rsidP="00397966">
      <w:pPr>
        <w:spacing w:after="0" w:line="240" w:lineRule="auto"/>
      </w:pPr>
      <w:r>
        <w:separator/>
      </w:r>
    </w:p>
  </w:footnote>
  <w:footnote w:type="continuationSeparator" w:id="0">
    <w:p w14:paraId="7ABD8B2C" w14:textId="77777777" w:rsidR="00F938C4" w:rsidRDefault="00F938C4" w:rsidP="00397966">
      <w:pPr>
        <w:spacing w:after="0" w:line="240" w:lineRule="auto"/>
      </w:pPr>
      <w:r>
        <w:continuationSeparator/>
      </w:r>
    </w:p>
  </w:footnote>
  <w:footnote w:id="1">
    <w:p w14:paraId="470D0AAE" w14:textId="77777777" w:rsidR="00397966" w:rsidRPr="003B5311" w:rsidRDefault="00397966" w:rsidP="00397966">
      <w:pPr>
        <w:pStyle w:val="a4"/>
        <w:jc w:val="both"/>
        <w:rPr>
          <w:rFonts w:ascii="Times New Roman" w:hAnsi="Times New Roman" w:cs="Times New Roman"/>
        </w:rPr>
      </w:pPr>
      <w:r w:rsidRPr="00E7697B">
        <w:rPr>
          <w:rStyle w:val="a3"/>
          <w:rFonts w:ascii="Times New Roman" w:hAnsi="Times New Roman" w:cs="Times New Roman"/>
        </w:rPr>
        <w:footnoteRef/>
      </w:r>
      <w:r w:rsidRPr="003B5311">
        <w:rPr>
          <w:rFonts w:ascii="Times New Roman" w:hAnsi="Times New Roman" w:cs="Times New Roman"/>
        </w:rPr>
        <w:t xml:space="preserve"> </w:t>
      </w:r>
      <w:r>
        <w:rPr>
          <w:rFonts w:ascii="Times New Roman" w:hAnsi="Times New Roman" w:cs="Times New Roman"/>
        </w:rPr>
        <w:t xml:space="preserve">Кандидат экономических наук. </w:t>
      </w:r>
      <w:r w:rsidRPr="003B5311">
        <w:rPr>
          <w:rFonts w:ascii="Times New Roman" w:hAnsi="Times New Roman" w:cs="Times New Roman"/>
        </w:rPr>
        <w:t>Национальный исследовательский универ</w:t>
      </w:r>
      <w:r>
        <w:rPr>
          <w:rFonts w:ascii="Times New Roman" w:hAnsi="Times New Roman" w:cs="Times New Roman"/>
        </w:rPr>
        <w:t>ситет</w:t>
      </w:r>
      <w:r w:rsidRPr="003B5311">
        <w:rPr>
          <w:rFonts w:ascii="Times New Roman" w:hAnsi="Times New Roman" w:cs="Times New Roman"/>
        </w:rPr>
        <w:t xml:space="preserve"> «</w:t>
      </w:r>
      <w:r>
        <w:rPr>
          <w:rFonts w:ascii="Times New Roman" w:hAnsi="Times New Roman" w:cs="Times New Roman"/>
        </w:rPr>
        <w:t>Высшая</w:t>
      </w:r>
      <w:r w:rsidRPr="003B5311">
        <w:rPr>
          <w:rFonts w:ascii="Times New Roman" w:hAnsi="Times New Roman" w:cs="Times New Roman"/>
        </w:rPr>
        <w:t xml:space="preserve"> </w:t>
      </w:r>
      <w:r>
        <w:rPr>
          <w:rFonts w:ascii="Times New Roman" w:hAnsi="Times New Roman" w:cs="Times New Roman"/>
        </w:rPr>
        <w:t>школа</w:t>
      </w:r>
      <w:r w:rsidRPr="003B5311">
        <w:rPr>
          <w:rFonts w:ascii="Times New Roman" w:hAnsi="Times New Roman" w:cs="Times New Roman"/>
        </w:rPr>
        <w:t xml:space="preserve"> </w:t>
      </w:r>
      <w:r>
        <w:rPr>
          <w:rFonts w:ascii="Times New Roman" w:hAnsi="Times New Roman" w:cs="Times New Roman"/>
        </w:rPr>
        <w:t>экономики</w:t>
      </w:r>
      <w:r w:rsidRPr="003B5311">
        <w:rPr>
          <w:rFonts w:ascii="Times New Roman" w:hAnsi="Times New Roman" w:cs="Times New Roman"/>
        </w:rPr>
        <w:t xml:space="preserve">», Российская Федерация, </w:t>
      </w:r>
      <w:r>
        <w:rPr>
          <w:rFonts w:ascii="Times New Roman" w:hAnsi="Times New Roman" w:cs="Times New Roman"/>
        </w:rPr>
        <w:t>Институт статистических исследований и экономики знаний</w:t>
      </w:r>
      <w:r w:rsidRPr="003B5311">
        <w:rPr>
          <w:rFonts w:ascii="Times New Roman" w:hAnsi="Times New Roman" w:cs="Times New Roman"/>
        </w:rPr>
        <w:t xml:space="preserve">, </w:t>
      </w:r>
      <w:r>
        <w:rPr>
          <w:rFonts w:ascii="Times New Roman" w:hAnsi="Times New Roman" w:cs="Times New Roman"/>
        </w:rPr>
        <w:t>Центр конъюнктурных исследований.</w:t>
      </w:r>
      <w:r w:rsidRPr="003B5311">
        <w:rPr>
          <w:rFonts w:ascii="Times New Roman" w:hAnsi="Times New Roman" w:cs="Times New Roman"/>
        </w:rPr>
        <w:t xml:space="preserve"> </w:t>
      </w:r>
      <w:r>
        <w:rPr>
          <w:rFonts w:ascii="Times New Roman" w:hAnsi="Times New Roman" w:cs="Times New Roman"/>
        </w:rPr>
        <w:t>Заместитель директора</w:t>
      </w:r>
      <w:r w:rsidRPr="003B5311">
        <w:rPr>
          <w:rFonts w:ascii="Times New Roman" w:hAnsi="Times New Roman" w:cs="Times New Roman"/>
        </w:rPr>
        <w:t xml:space="preserve">.: </w:t>
      </w:r>
      <w:proofErr w:type="spellStart"/>
      <w:r w:rsidRPr="00E7697B">
        <w:rPr>
          <w:rFonts w:ascii="Times New Roman" w:hAnsi="Times New Roman" w:cs="Times New Roman"/>
          <w:lang w:val="en-US"/>
        </w:rPr>
        <w:t>ilola</w:t>
      </w:r>
      <w:proofErr w:type="spellEnd"/>
      <w:r w:rsidRPr="003B5311">
        <w:rPr>
          <w:rFonts w:ascii="Times New Roman" w:hAnsi="Times New Roman" w:cs="Times New Roman"/>
        </w:rPr>
        <w:t>@</w:t>
      </w:r>
      <w:proofErr w:type="spellStart"/>
      <w:r w:rsidRPr="00E7697B">
        <w:rPr>
          <w:rFonts w:ascii="Times New Roman" w:hAnsi="Times New Roman" w:cs="Times New Roman"/>
          <w:lang w:val="en-US"/>
        </w:rPr>
        <w:t>hse</w:t>
      </w:r>
      <w:proofErr w:type="spellEnd"/>
      <w:r w:rsidRPr="003B5311">
        <w:rPr>
          <w:rFonts w:ascii="Times New Roman" w:hAnsi="Times New Roman" w:cs="Times New Roman"/>
        </w:rPr>
        <w:t>.</w:t>
      </w:r>
      <w:proofErr w:type="spellStart"/>
      <w:r w:rsidRPr="00E7697B">
        <w:rPr>
          <w:rFonts w:ascii="Times New Roman" w:hAnsi="Times New Roman" w:cs="Times New Roman"/>
          <w:lang w:val="en-US"/>
        </w:rPr>
        <w:t>ru</w:t>
      </w:r>
      <w:proofErr w:type="spellEnd"/>
    </w:p>
  </w:footnote>
  <w:footnote w:id="2">
    <w:p w14:paraId="5A5F8708" w14:textId="77777777" w:rsidR="00397966" w:rsidRPr="004D7AB5" w:rsidRDefault="00397966" w:rsidP="00397966">
      <w:pPr>
        <w:pStyle w:val="a4"/>
        <w:rPr>
          <w:rFonts w:ascii="Times New Roman" w:hAnsi="Times New Roman" w:cs="Times New Roman"/>
        </w:rPr>
      </w:pPr>
      <w:r w:rsidRPr="00E7697B">
        <w:rPr>
          <w:rStyle w:val="a3"/>
          <w:rFonts w:ascii="Times New Roman" w:hAnsi="Times New Roman" w:cs="Times New Roman"/>
        </w:rPr>
        <w:footnoteRef/>
      </w:r>
      <w:r w:rsidRPr="003B5311">
        <w:rPr>
          <w:rFonts w:ascii="Times New Roman" w:hAnsi="Times New Roman" w:cs="Times New Roman"/>
        </w:rPr>
        <w:t xml:space="preserve"> Национальный исследовательский университет «Высшая школа экономик</w:t>
      </w:r>
      <w:r>
        <w:rPr>
          <w:rFonts w:ascii="Times New Roman" w:hAnsi="Times New Roman" w:cs="Times New Roman"/>
        </w:rPr>
        <w:t>и</w:t>
      </w:r>
      <w:r w:rsidRPr="003B5311">
        <w:rPr>
          <w:rFonts w:ascii="Times New Roman" w:hAnsi="Times New Roman" w:cs="Times New Roman"/>
        </w:rPr>
        <w:t xml:space="preserve">», Российская Федерация, </w:t>
      </w:r>
      <w:r>
        <w:rPr>
          <w:rFonts w:ascii="Times New Roman" w:hAnsi="Times New Roman" w:cs="Times New Roman"/>
        </w:rPr>
        <w:t>Институт статистических исследований и экономики знаний</w:t>
      </w:r>
      <w:r w:rsidRPr="003B5311">
        <w:rPr>
          <w:rFonts w:ascii="Times New Roman" w:hAnsi="Times New Roman" w:cs="Times New Roman"/>
        </w:rPr>
        <w:t xml:space="preserve">, </w:t>
      </w:r>
      <w:r>
        <w:rPr>
          <w:rFonts w:ascii="Times New Roman" w:hAnsi="Times New Roman" w:cs="Times New Roman"/>
        </w:rPr>
        <w:t>Центр конъюнктурных исследований. Аналитик</w:t>
      </w:r>
      <w:r w:rsidRPr="003B5311">
        <w:rPr>
          <w:rFonts w:ascii="Times New Roman" w:hAnsi="Times New Roman" w:cs="Times New Roman"/>
        </w:rPr>
        <w:t xml:space="preserve">: </w:t>
      </w:r>
      <w:hyperlink r:id="rId1" w:history="1">
        <w:r w:rsidRPr="00323A0F">
          <w:rPr>
            <w:rStyle w:val="a6"/>
            <w:rFonts w:ascii="Times New Roman" w:hAnsi="Times New Roman" w:cs="Times New Roman"/>
            <w:lang w:val="en-US"/>
          </w:rPr>
          <w:t>mbakeev</w:t>
        </w:r>
        <w:r w:rsidRPr="00323A0F">
          <w:rPr>
            <w:rStyle w:val="a6"/>
            <w:rFonts w:ascii="Times New Roman" w:hAnsi="Times New Roman" w:cs="Times New Roman"/>
          </w:rPr>
          <w:t>@</w:t>
        </w:r>
        <w:r w:rsidRPr="00323A0F">
          <w:rPr>
            <w:rStyle w:val="a6"/>
            <w:rFonts w:ascii="Times New Roman" w:hAnsi="Times New Roman" w:cs="Times New Roman"/>
            <w:lang w:val="en-US"/>
          </w:rPr>
          <w:t>hse</w:t>
        </w:r>
        <w:r w:rsidRPr="00323A0F">
          <w:rPr>
            <w:rStyle w:val="a6"/>
            <w:rFonts w:ascii="Times New Roman" w:hAnsi="Times New Roman" w:cs="Times New Roman"/>
          </w:rPr>
          <w:t>.</w:t>
        </w:r>
        <w:proofErr w:type="spellStart"/>
        <w:r w:rsidRPr="00323A0F">
          <w:rPr>
            <w:rStyle w:val="a6"/>
            <w:rFonts w:ascii="Times New Roman" w:hAnsi="Times New Roman" w:cs="Times New Roman"/>
            <w:lang w:val="en-US"/>
          </w:rPr>
          <w:t>ru</w:t>
        </w:r>
        <w:proofErr w:type="spellEnd"/>
      </w:hyperlink>
    </w:p>
  </w:footnote>
  <w:footnote w:id="3">
    <w:p w14:paraId="1DCC253C" w14:textId="77777777" w:rsidR="00397966" w:rsidRPr="009E7114" w:rsidRDefault="00397966" w:rsidP="00397966">
      <w:pPr>
        <w:spacing w:after="0" w:line="240" w:lineRule="auto"/>
        <w:jc w:val="both"/>
        <w:rPr>
          <w:rFonts w:ascii="Times New Roman" w:hAnsi="Times New Roman" w:cs="Times New Roman"/>
          <w:sz w:val="20"/>
          <w:szCs w:val="20"/>
        </w:rPr>
      </w:pPr>
      <w:r w:rsidRPr="00E7697B">
        <w:rPr>
          <w:rStyle w:val="a3"/>
          <w:rFonts w:ascii="Times New Roman" w:hAnsi="Times New Roman" w:cs="Times New Roman"/>
        </w:rPr>
        <w:footnoteRef/>
      </w:r>
      <w:r w:rsidRPr="004E6079">
        <w:rPr>
          <w:rFonts w:ascii="Times New Roman" w:hAnsi="Times New Roman" w:cs="Times New Roman"/>
        </w:rPr>
        <w:t xml:space="preserve"> </w:t>
      </w:r>
      <w:r w:rsidRPr="009E7114">
        <w:rPr>
          <w:rFonts w:ascii="Times New Roman" w:hAnsi="Times New Roman" w:cs="Times New Roman"/>
          <w:sz w:val="20"/>
          <w:szCs w:val="20"/>
        </w:rPr>
        <w:t>Статья подготовлена в результате проведения исследования в рамках Программы фундаментальных исследований Национального исследовательского университета «Высшая школа экономики».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66"/>
    <w:rsid w:val="000E37B7"/>
    <w:rsid w:val="00397966"/>
    <w:rsid w:val="00922CDD"/>
    <w:rsid w:val="00C24E73"/>
    <w:rsid w:val="00F51E21"/>
    <w:rsid w:val="00F9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D54E"/>
  <w15:chartTrackingRefBased/>
  <w15:docId w15:val="{E549F14D-382B-4396-A689-706EB96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16 Point,Superscript 6 Point,Footnote Reference Number,Footnote Reference_LVL6,Footnote Reference_LVL61,Footnote Reference_LVL62,Footnote Reference_LVL63,Footnote Reference_LVL64,Referencia nota al pie,Ciae niinee-FN,f,fr"/>
    <w:basedOn w:val="a0"/>
    <w:uiPriority w:val="99"/>
    <w:unhideWhenUsed/>
    <w:rsid w:val="00397966"/>
    <w:rPr>
      <w:vertAlign w:val="superscript"/>
    </w:rPr>
  </w:style>
  <w:style w:type="paragraph" w:styleId="a4">
    <w:name w:val="footnote text"/>
    <w:basedOn w:val="a"/>
    <w:link w:val="a5"/>
    <w:uiPriority w:val="99"/>
    <w:unhideWhenUsed/>
    <w:rsid w:val="00397966"/>
    <w:pPr>
      <w:spacing w:after="0" w:line="240" w:lineRule="auto"/>
    </w:pPr>
    <w:rPr>
      <w:sz w:val="20"/>
      <w:szCs w:val="20"/>
    </w:rPr>
  </w:style>
  <w:style w:type="character" w:customStyle="1" w:styleId="a5">
    <w:name w:val="Текст сноски Знак"/>
    <w:basedOn w:val="a0"/>
    <w:link w:val="a4"/>
    <w:uiPriority w:val="99"/>
    <w:rsid w:val="00397966"/>
    <w:rPr>
      <w:sz w:val="20"/>
      <w:szCs w:val="20"/>
    </w:rPr>
  </w:style>
  <w:style w:type="character" w:styleId="a6">
    <w:name w:val="Hyperlink"/>
    <w:basedOn w:val="a0"/>
    <w:uiPriority w:val="99"/>
    <w:unhideWhenUsed/>
    <w:rsid w:val="00397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mbakee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Bakeev</dc:creator>
  <cp:keywords/>
  <dc:description/>
  <cp:lastModifiedBy>Murat Bakeev</cp:lastModifiedBy>
  <cp:revision>1</cp:revision>
  <dcterms:created xsi:type="dcterms:W3CDTF">2021-11-09T16:41:00Z</dcterms:created>
  <dcterms:modified xsi:type="dcterms:W3CDTF">2021-11-09T17:56:00Z</dcterms:modified>
</cp:coreProperties>
</file>